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86R9018 SRS-F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Allison</w:t>
      </w:r>
      <w:r xml:space="preserve">
        <w:tab wTab="150" tlc="none" cTlc="0"/>
      </w:r>
      <w:r>
        <w:t xml:space="preserve">H.B.</w:t>
      </w:r>
      <w:r xml:space="preserve">
        <w:t> </w:t>
      </w:r>
      <w:r>
        <w:t xml:space="preserve">No.</w:t>
      </w:r>
      <w:r xml:space="preserve">
        <w:t> </w:t>
      </w:r>
      <w:r>
        <w:t xml:space="preserve">2776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an open-enrollment charter school to prepare an informed choice report containing certain information about the school.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12, Education Code, is amended by adding Section 12.138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12.138.</w:t>
      </w:r>
      <w:r>
        <w:rPr>
          <w:u w:val="single"/>
        </w:rPr>
        <w:t xml:space="preserve"> </w:t>
      </w:r>
      <w:r>
        <w:rPr>
          <w:u w:val="single"/>
        </w:rPr>
        <w:t xml:space="preserve"> </w:t>
      </w:r>
      <w:r>
        <w:rPr>
          <w:u w:val="single"/>
        </w:rPr>
        <w:t xml:space="preserve">INFORMED CHOICE REPORT.  (a)  Not later than December 1 of each year, an open-enrollment charter school shall prepare and submit to the agency an informed choice report in the format and manner provided by the agency.  The informed choice report must include the following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information contained in the most recent campus report card for each campus of the school under Section 39.305;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student demographics, including the percentage of students eligible for and enrolled in programs for which the school receives an allotment under Section 42.151, 42.152, 42.153, 42.154, or 42.156;</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school year calendar for the current school year and the next school year, if known;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information regarding transportation and meals provided to students by the school, including if the school participates in the national free or reduced-price lunch program established under 42 U.S.C. Section 1751 et seq.;</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for each high school campus of the school, the availability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courses that are part of an endorsement curriculum under Section 28.025(c-1);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dual credit courses under Section 28.009;</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extracurricular activities offered, including music, arts, and sports;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number of courses in enrichment curriculum subjects offered, including fine arts;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for each elementary school campus of the school, the availability of opportunities for students in a grade level below grade six to participate in moderate or vigorous daily physical activity for at least 30 minutes;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list of parental rights and responsibilities the school provides or elects not to provide under Chapter 26, including access to student records and review of teaching materials and assessments;</w:t>
      </w:r>
      <w:r>
        <w:t xml:space="preserve"> </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any parental requirements to participate or volunteer at the school or for school programs, including an estimate of the time commitment required;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teacher information,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percentage of teachers who are uncertified or assigned to teach courses outside the teacher's area of certification;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average years of experience;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annual attrition rate;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average salary;</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the number of spots available for new students at each grade level;</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the number of applicants for admission for each grade level who are on a waiting list;</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information regarding admission criteria, including the application for admission and disciplinary history considerations that could exclude an applicant from admission to the school;</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information regarding specific criteria, policies, and procedures for discipline or expulsion included in the school's code of conduct that differ from the requirements for school districts in Chapter 37;</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rates of student suspension, expulsion, and attrition;</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any additional requirements for student graduation that exceed the graduation requirements for a student enrolled at a school district;</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a list of courses, materials, and assessments that use common core state standards, as defined by Section 28.002(b-1);</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if the school is not required to comply with Subchapter D, Chapter 32, information regarding how the school protects covered information, as defined by Section 32.151;</w:t>
      </w:r>
      <w:r>
        <w:t xml:space="preserve"> </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if the school provides a full-time online program through the state virtual school network, information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entity that provides the program;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course completion rates;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course attrition rates;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aggregate student performance on assessment instruments administered under Section 39.023 for the previous five years;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if the entity previously provided an online program for a school district or open-enrollment charter school, aggregate student performance on assessment instruments administered under Section 39.023 for the last five years during which the entity provided the program;</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if students have access to a school library;</w:t>
      </w:r>
    </w:p>
    <w:p w:rsidR="003F3435" w:rsidRDefault="0032493E">
      <w:pPr>
        <w:spacing w:line="480" w:lineRule="auto"/>
        <w:ind w:firstLine="1440"/>
        <w:jc w:val="both"/>
      </w:pPr>
      <w:r>
        <w:rPr>
          <w:u w:val="single"/>
        </w:rPr>
        <w:t xml:space="preserve">(22)</w:t>
      </w:r>
      <w:r>
        <w:rPr>
          <w:u w:val="single"/>
        </w:rPr>
        <w:t xml:space="preserve"> </w:t>
      </w:r>
      <w:r>
        <w:rPr>
          <w:u w:val="single"/>
        </w:rPr>
        <w:t xml:space="preserve"> </w:t>
      </w:r>
      <w:r>
        <w:rPr>
          <w:u w:val="single"/>
        </w:rPr>
        <w:t xml:space="preserve">the number of school counselors and nurses available at each campus of the school; and</w:t>
      </w:r>
    </w:p>
    <w:p w:rsidR="003F3435" w:rsidRDefault="0032493E">
      <w:pPr>
        <w:spacing w:line="480" w:lineRule="auto"/>
        <w:ind w:firstLine="1440"/>
        <w:jc w:val="both"/>
      </w:pPr>
      <w:r>
        <w:rPr>
          <w:u w:val="single"/>
        </w:rPr>
        <w:t xml:space="preserve">(23)</w:t>
      </w:r>
      <w:r>
        <w:rPr>
          <w:u w:val="single"/>
        </w:rPr>
        <w:t xml:space="preserve"> </w:t>
      </w:r>
      <w:r>
        <w:rPr>
          <w:u w:val="single"/>
        </w:rPr>
        <w:t xml:space="preserve"> </w:t>
      </w:r>
      <w:r>
        <w:rPr>
          <w:u w:val="single"/>
        </w:rPr>
        <w:t xml:space="preserve">whether the school's performance is measured using an alternative accountability system.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January 1 of each year, the agency shall post each open-enrollment charter school's informed choice report on the agency's Internet website.  An open-enrollment charter school shall post on the school's admission information web page of the school's Internet website: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school's informed choice report;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link to the school's informed choice report on the agency's website.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