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2778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allocation of expenses of a joint election to certain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11.0581(e),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joint election agreement allocating expenses as provided by Section 271.004, Election Code, must provide that a school district is responsible only for the proportion of election expenses that corresponds to the proportion that the number of registered voters in the school district bears to the total number of registered voters in all political subdivisions participating in the joint election. This subsection applies only to a school district:</w:t>
      </w:r>
    </w:p>
    <w:p w:rsidR="003F3435" w:rsidRDefault="0032493E">
      <w:pPr>
        <w:spacing w:line="480" w:lineRule="auto"/>
        <w:ind w:firstLine="1440"/>
        <w:jc w:val="both"/>
      </w:pPr>
      <w:r>
        <w:t xml:space="preserve">(1)</w:t>
      </w:r>
      <w:r xml:space="preserve">
        <w:t> </w:t>
      </w:r>
      <w:r xml:space="preserve">
        <w:t> </w:t>
      </w:r>
      <w:r>
        <w:t xml:space="preserve">that has territory located in at least four counties, each of which has a population of less than </w:t>
      </w:r>
      <w:r>
        <w:rPr>
          <w:u w:val="single"/>
        </w:rPr>
        <w:t xml:space="preserve">55,000</w:t>
      </w:r>
      <w:r>
        <w:t xml:space="preserve">  [</w:t>
      </w:r>
      <w:r>
        <w:rPr>
          <w:strike/>
        </w:rPr>
        <w:t xml:space="preserve">46,100</w:t>
      </w:r>
      <w:r>
        <w:t xml:space="preserve">]; and</w:t>
      </w:r>
    </w:p>
    <w:p w:rsidR="003F3435" w:rsidRDefault="0032493E">
      <w:pPr>
        <w:spacing w:line="480" w:lineRule="auto"/>
        <w:ind w:firstLine="1440"/>
        <w:jc w:val="both"/>
      </w:pPr>
      <w:r>
        <w:t xml:space="preserve">(2)</w:t>
      </w:r>
      <w:r xml:space="preserve">
        <w:t> </w:t>
      </w:r>
      <w:r xml:space="preserve">
        <w:t> </w:t>
      </w:r>
      <w:r>
        <w:t xml:space="preserve">no part of which is located in a municipality.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2778 was passed by the House on April 12, 2019, by the following vote:</w:t>
      </w:r>
      <w:r xml:space="preserve">
        <w:t> </w:t>
      </w:r>
      <w:r xml:space="preserve">
        <w:t> </w:t>
      </w:r>
      <w:r>
        <w:t xml:space="preserve">Yeas 143,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2778 was passed by the Senate on May 20,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