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2783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psychologist licensed under Chapter 501, Occupations Code;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 advisory council members'</w:t>
      </w:r>
      <w:r>
        <w:rPr>
          <w:u w:val="single"/>
        </w:rPr>
        <w:t xml:space="preserve"> </w:t>
      </w:r>
      <w:r>
        <w:rPr>
          <w:u w:val="single"/>
        </w:rPr>
        <w:t xml:space="preserve">terms of office.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 CHAIR. </w:t>
      </w:r>
      <w:r>
        <w:rPr>
          <w:u w:val="single"/>
        </w:rPr>
        <w:t xml:space="preserve"> </w:t>
      </w:r>
      <w:r>
        <w:rPr>
          <w:u w:val="single"/>
        </w:rPr>
        <w:t xml:space="preserve">Members of the advisory council shall elect from among the legislative members of the advisory council a chair and vice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