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86R25824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Perez, Burrows, Hinojosa, Leach,</w:t>
      </w:r>
      <w:r xml:space="preserve">
        <w:tab wTab="150" tlc="none" cTlc="0"/>
      </w:r>
      <w:r>
        <w:t xml:space="preserve">H.B.</w:t>
      </w:r>
      <w:r xml:space="preserve">
        <w:t> </w:t>
      </w:r>
      <w:r>
        <w:t xml:space="preserve">No.</w:t>
      </w:r>
      <w:r xml:space="preserve">
        <w:t> </w:t>
      </w:r>
      <w:r>
        <w:t xml:space="preserve">2786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2786:</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2786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employee turnover reporting during a day-care center's, group day-care home's, or registered family home's license or registration renewal.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42.050,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application for renewal of a day-care center or group day-care home license must require the license holder to disclose the total number of employees who left employment with the license holder during the preceding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42.052(f-1), Human Resources Code, is amended to read as follows:</w:t>
      </w:r>
    </w:p>
    <w:p w:rsidR="003F3435" w:rsidRDefault="0032493E">
      <w:pPr>
        <w:spacing w:line="480" w:lineRule="auto"/>
        <w:ind w:firstLine="720"/>
        <w:jc w:val="both"/>
      </w:pPr>
      <w:r>
        <w:t xml:space="preserve">(f-1)</w:t>
      </w:r>
      <w:r xml:space="preserve">
        <w:t> </w:t>
      </w:r>
      <w:r xml:space="preserve">
        <w:t> </w:t>
      </w:r>
      <w:r>
        <w:t xml:space="preserve">The executive commissioner shall adopt rules governing the certification and registration renewal process for all certifications and registrations issued under this chapter. The rules must include:</w:t>
      </w:r>
    </w:p>
    <w:p w:rsidR="003F3435" w:rsidRDefault="0032493E">
      <w:pPr>
        <w:spacing w:line="480" w:lineRule="auto"/>
        <w:ind w:firstLine="1440"/>
        <w:jc w:val="both"/>
      </w:pPr>
      <w:r>
        <w:t xml:space="preserve">(1)</w:t>
      </w:r>
      <w:r xml:space="preserve">
        <w:t> </w:t>
      </w:r>
      <w:r xml:space="preserve">
        <w:t> </w:t>
      </w:r>
      <w:r>
        <w:t xml:space="preserve">renewal periods;</w:t>
      </w:r>
    </w:p>
    <w:p w:rsidR="003F3435" w:rsidRDefault="0032493E">
      <w:pPr>
        <w:spacing w:line="480" w:lineRule="auto"/>
        <w:ind w:firstLine="1440"/>
        <w:jc w:val="both"/>
      </w:pPr>
      <w:r>
        <w:t xml:space="preserve">(2)</w:t>
      </w:r>
      <w:r xml:space="preserve">
        <w:t> </w:t>
      </w:r>
      <w:r xml:space="preserve">
        <w:t> </w:t>
      </w:r>
      <w:r>
        <w:t xml:space="preserve">a process for staggered renewals;</w:t>
      </w:r>
    </w:p>
    <w:p w:rsidR="003F3435" w:rsidRDefault="0032493E">
      <w:pPr>
        <w:spacing w:line="480" w:lineRule="auto"/>
        <w:ind w:firstLine="1440"/>
        <w:jc w:val="both"/>
      </w:pPr>
      <w:r>
        <w:t xml:space="preserve">(3)</w:t>
      </w:r>
      <w:r xml:space="preserve">
        <w:t> </w:t>
      </w:r>
      <w:r xml:space="preserve">
        <w:t> </w:t>
      </w:r>
      <w:r>
        <w:t xml:space="preserve">a process for resolving a late application for renewal;</w:t>
      </w:r>
    </w:p>
    <w:p w:rsidR="003F3435" w:rsidRDefault="0032493E">
      <w:pPr>
        <w:spacing w:line="480" w:lineRule="auto"/>
        <w:ind w:firstLine="1440"/>
        <w:jc w:val="both"/>
      </w:pPr>
      <w:r>
        <w:t xml:space="preserve">(4)</w:t>
      </w:r>
      <w:r xml:space="preserve">
        <w:t> </w:t>
      </w:r>
      <w:r xml:space="preserve">
        <w:t> </w:t>
      </w:r>
      <w:r>
        <w:t xml:space="preserve">expiration dates;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conditions for renewal</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for a registered family home to disclose the total number of employees who left employment with the registration holder during the preceding calendar year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42.025,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under Subsection (a), the searchable database must include the employment information disclosed under Sections 42.050(e) and 42.052(f-1)(6).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license or registration renewed on or after the effective date of this Act.  A license or registration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