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transport of alcoholic beverages for personal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107.08,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107.08.</w:t>
      </w:r>
      <w:r xml:space="preserve">
        <w:t> </w:t>
      </w:r>
      <w:r xml:space="preserve">
        <w:t> </w:t>
      </w:r>
      <w:r>
        <w:t xml:space="preserve">TRANSPORTATION OF BEVERAGES FOR PERSONAL CONSUMPTION.  A person who purchases an alcoholic beverage for </w:t>
      </w:r>
      <w:r>
        <w:rPr>
          <w:u w:val="single"/>
        </w:rPr>
        <w:t xml:space="preserve">the person's</w:t>
      </w:r>
      <w:r>
        <w:t xml:space="preserve"> [</w:t>
      </w:r>
      <w:r>
        <w:rPr>
          <w:strike/>
        </w:rPr>
        <w:t xml:space="preserve">his</w:t>
      </w:r>
      <w:r>
        <w:t xml:space="preserve">] own consumption may </w:t>
      </w:r>
      <w:r>
        <w:rPr>
          <w:u w:val="single"/>
        </w:rPr>
        <w:t xml:space="preserve">personally</w:t>
      </w:r>
      <w:r>
        <w:t xml:space="preserve"> transport it from a place where its sale is legal to a place where its possession is legal without holding a license or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2791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2791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