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86R6145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one-time supplemental annuity payment to certain retirees and beneficiaries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824, Government Code, is amended by adding Section 824.010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824.010.</w:t>
      </w:r>
      <w:r>
        <w:rPr>
          <w:u w:val="single"/>
        </w:rPr>
        <w:t xml:space="preserve"> </w:t>
      </w:r>
      <w:r>
        <w:rPr>
          <w:u w:val="single"/>
        </w:rPr>
        <w:t xml:space="preserve"> </w:t>
      </w:r>
      <w:r>
        <w:rPr>
          <w:u w:val="single"/>
        </w:rPr>
        <w:t xml:space="preserve">SUPPLEMENTAL PAYMENT. </w:t>
      </w:r>
      <w:r>
        <w:rPr>
          <w:u w:val="single"/>
        </w:rPr>
        <w:t xml:space="preserve"> </w:t>
      </w:r>
      <w:r>
        <w:rPr>
          <w:u w:val="single"/>
        </w:rPr>
        <w:t xml:space="preserve">(a) </w:t>
      </w:r>
      <w:r>
        <w:rPr>
          <w:u w:val="single"/>
        </w:rPr>
        <w:t xml:space="preserve"> </w:t>
      </w:r>
      <w:r>
        <w:rPr>
          <w:u w:val="single"/>
        </w:rPr>
        <w:t xml:space="preserve">Notwithstanding Section 821.006, the retirement system may make a one-time supplemental payment as provided by this section to an annuitant eligible to receive a monthly retirement, disability, or death benefit annuity under this subchapter. </w:t>
      </w:r>
      <w:r>
        <w:rPr>
          <w:u w:val="single"/>
        </w:rPr>
        <w:t xml:space="preserve"> </w:t>
      </w:r>
      <w:r>
        <w:rPr>
          <w:u w:val="single"/>
        </w:rPr>
        <w:t xml:space="preserve">A supplemental payment made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addition to the regular monthly annuity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made using earnings the system makes on investments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retirement system shall pay the supplemental payment in January following the fiscal year in which the actual rate of return on the investment of the system's cash and securities exceeds the assumed rate of return used in the actuarial valuation prepared by the system for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shall determine the aggregate supplemental payment amount available for making supplemental payments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system's actuary to determine the value of the system's investment returns that represent the amount by which the actual rate of return exceeds the assumed rate of return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that value by 50 percent.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shall, based on the aggregate supplemental payment amount,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receive the supplemental payment based on years of service, effective date of retirement or death, as applicable, and other reasonable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each annuitant's supplemental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manner in which the payment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on the second anniversary of the date on which the supplemental payment authorized under this section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