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86R26244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Deshotel, Clardy, Hinojosa,</w:t>
      </w:r>
      <w:r xml:space="preserve">
        <w:tab wTab="150" tlc="none" cTlc="0"/>
      </w:r>
      <w:r>
        <w:t xml:space="preserve">H.B.</w:t>
      </w:r>
      <w:r xml:space="preserve">
        <w:t> </w:t>
      </w:r>
      <w:r>
        <w:t xml:space="preserve">No.</w:t>
      </w:r>
      <w:r xml:space="preserve">
        <w:t> </w:t>
      </w:r>
      <w:r>
        <w:t xml:space="preserve">2798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2798:</w:t>
      </w: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C.S.H.B.</w:t>
      </w:r>
      <w:r xml:space="preserve">
        <w:t> </w:t>
      </w:r>
      <w:r>
        <w:t xml:space="preserve">No.</w:t>
      </w:r>
      <w:r xml:space="preserve">
        <w:t> </w:t>
      </w:r>
      <w:r>
        <w:t xml:space="preserve">2798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certain urban teaching hospitals  for the provision of inpatient hospital care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32.0285.</w:t>
      </w:r>
      <w:r>
        <w:rPr>
          <w:u w:val="single"/>
        </w:rPr>
        <w:t xml:space="preserve"> </w:t>
      </w:r>
      <w:r>
        <w:rPr>
          <w:u w:val="single"/>
        </w:rPr>
        <w:t xml:space="preserve"> </w:t>
      </w:r>
      <w:r>
        <w:rPr>
          <w:u w:val="single"/>
        </w:rPr>
        <w:t xml:space="preserve">CALCULATION OF MEDICAL EDUCATION ADD-ON FOR REIMBURSEMENT OF CERTAIN URBAN TEACHING HOSPITALS.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 standard dollar amount" means the standardized payment amount calculated by the commission for costs incurred by prospectively paid hospitals in this state for providing inpatient hospital care under Medicaid.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"Children's hospital" means a hospital designated by the Centers for Medicare and Medicaid Services as a children's hospital.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education add-on" means an adjustment to the base standard dollar amount for an urban teaching hospital to reflect higher patient care costs relative to nonteaching urban hospitals.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"Rural hospital" means a hospital enrolled as a Medicaid provider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not more than 60,000;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designated by the Centers for Medicare and Medicaid Services as a critical access hospital, sole community hospital, or rural referral center and is not located in an area defined by the United States Office of Management and Budget as a metropolitan statistical area;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all of the following criteria: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100 or fewer beds;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designated by the Centers for Medicare and Medicaid Services as a critical access hospital, sole community hospital, or rural referral center;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located in an area defined by the United States Office of Management and Budget as a metropolitan statistical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"State-owned teaching hospital"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University of Texas Health Science Center at Tyler;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University of Texas M.D. Anderson Cancer Center.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"Teaching hospital" means a hospital that incurs indirect costs for operating graduate medical education programs and for which the Centers for Medicare and Medicaid Services has calculated and assigned a percentage Medicare education adjustment factor under 42 C.F.R. Section 412.105.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"Urban hospital" means a hospital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an area defined by the United States Office of Management and Budget as a metropolitan statistical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 rural hospital, children's hospital, state-owned teaching hospital, or freestanding psychiatric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in order to ensure that urban teaching hospitals are accurately reimbursed for the provision of inpatient hospital care to recipients under Medicaid, the commission shall at least annually update the education adjustment factor used to calculate the medical education add-on using the most current data available,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data related to the number of interns and residents enrolled in a hospital's approved teaching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Medicare education adjustment factor assigned under 42 C.F.R. Section 412.105 in effect at the time the commission makes the update.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"Medicaid" has the meaning assigned by Section 531.001, Government Code.</w:t>
      </w:r>
    </w:p>
    <w:p w:rsidR="003F3435" w:rsidRDefault="0032493E">
      <w:pPr>
        <w:spacing w:line="480" w:lineRule="auto"/>
        <w:ind w:firstLine="1440"/>
        <w:jc w:val="both"/>
      </w:pPr>
      <w:r>
        <w:t xml:space="preserve">(2)</w:t>
      </w:r>
      <w:r xml:space="preserve">
        <w:t> </w:t>
      </w:r>
      <w:r xml:space="preserve">
        <w:t> </w:t>
      </w:r>
      <w:r>
        <w:t xml:space="preserve">"Medical education add-on," "teaching hospital," and "urban hospital" have the meanings assigned by Section 32.0285, Human Resources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Health and Human Services Commission shall conduct a study to evaluate the impacts and effectiveness of using the Medicare education adjustment factor assigned under 42 C.F.R. Section 412.105 in effect on the effective date of this Act to calculate the medical education add-on used to reimburse teaching hospitals for the provision of inpatient hospital care under Medicaid.   The commission shall develop and make recommendations on alternative factors and methodologies for calculating and annually updating the medical education add-on that:</w:t>
      </w:r>
    </w:p>
    <w:p w:rsidR="003F3435" w:rsidRDefault="0032493E">
      <w:pPr>
        <w:spacing w:line="480" w:lineRule="auto"/>
        <w:ind w:firstLine="1440"/>
        <w:jc w:val="both"/>
      </w:pPr>
      <w:r>
        <w:t xml:space="preserve">(1)</w:t>
      </w:r>
      <w:r xml:space="preserve">
        <w:t> </w:t>
      </w:r>
      <w:r xml:space="preserve">
        <w:t> </w:t>
      </w:r>
      <w:r>
        <w:t xml:space="preserve">best recognize the higher costs incurred by teaching hospitals; and</w:t>
      </w:r>
    </w:p>
    <w:p w:rsidR="003F3435" w:rsidRDefault="0032493E">
      <w:pPr>
        <w:spacing w:line="480" w:lineRule="auto"/>
        <w:ind w:firstLine="1440"/>
        <w:jc w:val="both"/>
      </w:pPr>
      <w:r>
        <w:t xml:space="preserve">(2)</w:t>
      </w:r>
      <w:r xml:space="preserve">
        <w:t> </w:t>
      </w:r>
      <w:r xml:space="preserve">
        <w:t> </w:t>
      </w:r>
      <w:r>
        <w:t xml:space="preserve">mitigate issues identified with using the Medicare education adjustment factor without reducing reimbursements to urban teaching hospitals that have maintained or increased the number of interns and residents enrolled in the hospitals' approved teaching programs.</w:t>
      </w:r>
    </w:p>
    <w:p w:rsidR="003F3435" w:rsidRDefault="0032493E">
      <w:pPr>
        <w:spacing w:line="480" w:lineRule="auto"/>
        <w:ind w:firstLine="720"/>
        <w:jc w:val="both"/>
      </w:pPr>
      <w:r>
        <w:t xml:space="preserve">(c)</w:t>
      </w:r>
      <w:r xml:space="preserve">
        <w:t> </w:t>
      </w:r>
      <w:r xml:space="preserve">
        <w:t> </w:t>
      </w:r>
      <w:r>
        <w:t xml:space="preserve">Not later than December 1, 2020, the Health and Human Services Commission shall report its findings and recommendations under Subsection (b) of this section to the governor, the standing committees of the senate and house of representatives having primary jurisdiction over matters relating to state finance and appropriations from the state treasury, the standing committees of the senate and house of representatives having primary jurisdiction over Medicaid, and the Legislative Budget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