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Zerwas, Howard, Ashby, Raymond</w:t>
      </w:r>
      <w:r xml:space="preserve">
        <w:tab wTab="150" tlc="none" cTlc="0"/>
      </w:r>
      <w:r>
        <w:t xml:space="preserve">H.B.</w:t>
      </w:r>
      <w:r xml:space="preserve">
        <w:t> </w:t>
      </w:r>
      <w:r>
        <w:t xml:space="preserve">No.</w:t>
      </w:r>
      <w:r xml:space="preserve">
        <w:t> </w:t>
      </w:r>
      <w:r>
        <w:t xml:space="preserve">2802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amounts, availability, and use of certain statutorily dedicated revenue and accounts; reducing or affecting the amounts of certain statutorily dedicated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102.015, Code of Criminal Procedure, is amended by amending Subsection (g) and adding Subsections (g-1) and (h-1) to read as follows:</w:t>
      </w:r>
    </w:p>
    <w:p w:rsidR="003F3435" w:rsidRDefault="0032493E">
      <w:pPr>
        <w:spacing w:line="480" w:lineRule="auto"/>
        <w:ind w:firstLine="720"/>
        <w:jc w:val="both"/>
      </w:pPr>
      <w:r>
        <w:t xml:space="preserve">(g)</w:t>
      </w:r>
      <w:r xml:space="preserve">
        <w:t> </w:t>
      </w:r>
      <w:r xml:space="preserve">
        <w:t> </w:t>
      </w:r>
      <w:r>
        <w:t xml:space="preserve">The comptroller shall deposit the funds received under this article to the credit of a dedicated account in the general revenue fund to be known as the truancy prevention and diversion fund. </w:t>
      </w:r>
      <w:r>
        <w:rPr>
          <w:u w:val="single"/>
        </w:rPr>
        <w:t xml:space="preserve">Subject to Subsection (g-1), the</w:t>
      </w:r>
      <w:r>
        <w:t xml:space="preserve"> [</w:t>
      </w:r>
      <w:r>
        <w:rPr>
          <w:strike/>
        </w:rPr>
        <w:t xml:space="preserve">The</w:t>
      </w:r>
      <w:r>
        <w:t xml:space="preserve">] legislature may appropriate money from the account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criminal justice division of the governor's office for distribution to local governmental entities for truancy prevention and intervention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Education Agency for distribution to school districts for truancy prevention and intervention services and programs</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legislature may appropriate money from the truancy prevention and diversion fund to the Texas Education Agency for a state fiscal biennium only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appropriated from the fund to the criminal justice division of the governor's office for that biennium is at least equal to the amount of money appropriated from the fund to the criminal justice division of the governor's office for the previous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appropriated from the fund for that biennium does not exceed the amount of money that the comptroller will deposit into the fund for that biennium, as estimated by the comptroller's biennial revenue estimate.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 school district may request an amount of money from the Texas Education Agency for providing truancy prevention and intervention services and programs. The agency may award the requested amount based on the availability of appropriated money and subject to the application procedures and eligibility requirements as determined by agency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56.0092(e),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 appropriation under Subsection (d) must be made in accordance with a formula, adopted by coordinating board rule, that [</w:t>
      </w:r>
      <w:r>
        <w:rPr>
          <w:strike/>
        </w:rPr>
        <w:t xml:space="preserve">the coordinating board determines fairly</w:t>
      </w:r>
      <w:r>
        <w:t xml:space="preserve">] allocates the appropriated amount </w:t>
      </w:r>
      <w:r>
        <w:rPr>
          <w:u w:val="single"/>
        </w:rPr>
        <w:t xml:space="preserve">only</w:t>
      </w:r>
      <w:r>
        <w:t xml:space="preserve"> to those eligible institutions at which the Texas B-On-time student loan program was underutilized.</w:t>
      </w:r>
      <w:r xml:space="preserve">
        <w:t> </w:t>
      </w:r>
      <w:r xml:space="preserve">
        <w:t> </w:t>
      </w:r>
      <w:r>
        <w:t xml:space="preserve">For purposes of this subsection, the Texas B-On-time student loan program is considered to have been underutilized by students of an institution [</w:t>
      </w:r>
      <w:r>
        <w:rPr>
          <w:strike/>
        </w:rPr>
        <w:t xml:space="preserve">in any period</w:t>
      </w:r>
      <w:r>
        <w:t xml:space="preserve">] if the [</w:t>
      </w:r>
      <w:r>
        <w:rPr>
          <w:strike/>
        </w:rPr>
        <w:t xml:space="preserve">institution's percentage of the</w:t>
      </w:r>
      <w:r>
        <w:t xml:space="preserve">] total amount of tuition set aside by </w:t>
      </w:r>
      <w:r>
        <w:rPr>
          <w:u w:val="single"/>
        </w:rPr>
        <w:t xml:space="preserve">the institution</w:t>
      </w:r>
      <w:r>
        <w:t xml:space="preserve"> [</w:t>
      </w:r>
      <w:r>
        <w:rPr>
          <w:strike/>
        </w:rPr>
        <w:t xml:space="preserve">all institutions</w:t>
      </w:r>
      <w:r>
        <w:t xml:space="preserve">] under the program </w:t>
      </w:r>
      <w:r>
        <w:rPr>
          <w:u w:val="single"/>
        </w:rPr>
        <w:t xml:space="preserve">during the period beginning with the 2007 state fiscal year and ending with the 2015 state fiscal year</w:t>
      </w:r>
      <w:r>
        <w:t xml:space="preserve"> [</w:t>
      </w:r>
      <w:r>
        <w:rPr>
          <w:strike/>
        </w:rPr>
        <w:t xml:space="preserve">during the period</w:t>
      </w:r>
      <w:r>
        <w:t xml:space="preserve">] was greater than the </w:t>
      </w:r>
      <w:r>
        <w:rPr>
          <w:u w:val="single"/>
        </w:rPr>
        <w:t xml:space="preserve">total amount of assistance received by the institution's students</w:t>
      </w:r>
      <w:r>
        <w:t xml:space="preserve"> [</w:t>
      </w:r>
      <w:r>
        <w:rPr>
          <w:strike/>
        </w:rPr>
        <w:t xml:space="preserve">institution's percentage of all students who received a Texas B-On-time student loan</w:t>
      </w:r>
      <w:r>
        <w:t xml:space="preserve">] under the program </w:t>
      </w:r>
      <w:r>
        <w:rPr>
          <w:u w:val="single"/>
        </w:rPr>
        <w:t xml:space="preserve">during that</w:t>
      </w:r>
      <w:r>
        <w:t xml:space="preserve"> [</w:t>
      </w:r>
      <w:r>
        <w:rPr>
          <w:strike/>
        </w:rPr>
        <w:t xml:space="preserve">for the same</w:t>
      </w:r>
      <w:r>
        <w:t xml:space="preserve">] period.  </w:t>
      </w:r>
      <w:r>
        <w:rPr>
          <w:u w:val="single"/>
        </w:rPr>
        <w:t xml:space="preserve">The formula must allocate the appropriated amount among those institutions so that each institution receives a percentage of the amount appropriated that is proportional to the institution's share of the total amount of unused set-asides for the period contributed by those institutions.  For purposes of this subsection, the amount of an institution's unused set-asides is the amount by which the total amount of tuition set aside by the institution under the program exceeds the total amount of assistance received by the institution's students under the program</w:t>
      </w:r>
      <w:r>
        <w:t xml:space="preserve"> [</w:t>
      </w:r>
      <w:r>
        <w:rPr>
          <w:strike/>
        </w:rPr>
        <w:t xml:space="preserve">The coordinating board shall base the coordinating board's determination on a period of academic years occurring before the 2015-2016 academic year that the coordinating board considers representative of eligible institutions' student participation in the Texas B-On-time student loan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Grants may be awarded under this chapter [</w:t>
      </w:r>
      <w:r>
        <w:rPr>
          <w:strike/>
        </w:rPr>
        <w:t xml:space="preserve">from the Jobs and Education for Texans (JET) fund</w:t>
      </w:r>
      <w:r>
        <w:t xml:space="preserve">] to defray the start-up costs associated with the development of new career and technical education programs at public junior colleges, public technical institutes, public state colleges, and independent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403.095, Government Code, is amended by amending Subsections (b), (d), and (f) and adding Subsection (e)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dedicated revenues in the following accounts or funds or that by law are directed to be deposited to the credit of the following accounts or funds are not available for general governmental purposes and are not considered available for certification under Section 403.121: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Department of Insurance operating account no. 0036;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lifetime license endowment account no. 0544;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permanent fund for health and tobacco education and enforcement account no. 5044;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fund for children and public health account no. 5045;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permanent fund for emergency medical services and trauma care account no. 5046;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permanent fund for rural health facility capital improvement account no. 5047;</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permanent hospital fund for capital improvements and the Texas Center for Infectious Disease account no. 5048;</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abuse and neglect prevention operating fund account no. 5084;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abuse and neglect prevention trust fund account no. 5085;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separate fund account of each institution of higher education in the general revenue fund.</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energy efficiency upgrades for state facilities;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vehicle emissions inspection and maintenance program administered by the Department of Public Safety;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contract with the Texas A&amp;M Transportation Institute to conduct a study as provided by Section 386.252(a)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w:t>
      </w:r>
      <w:r xml:space="preserve">
        <w:t> </w:t>
      </w:r>
      <w:r xml:space="preserve">
        <w:t> </w:t>
      </w:r>
      <w:r>
        <w:t xml:space="preserve">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$250,000 shall be allocated to the commission to contract with the Texas A&amp;M Transportation Institute to conduct a study to evaluate the relationship between traffic congestion and ozone precursors and to identify effective strategies in reducing nitrogen oxide emissions from transportation sources;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40.151, Natural Resources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purpose of this subchapter is to provide immediately available funds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response to all unauthorized discharges, [</w:t>
      </w:r>
      <w:r>
        <w:rPr>
          <w:strike/>
        </w:rPr>
        <w:t xml:space="preserve">for</w:t>
      </w:r>
      <w:r>
        <w:t xml:space="preserve">] cleanup of pollution from unauthorized discharges of oil, </w:t>
      </w:r>
      <w:r>
        <w:rPr>
          <w:u w:val="single"/>
        </w:rPr>
        <w:t xml:space="preserve">and</w:t>
      </w:r>
      <w:r>
        <w:t xml:space="preserve"> </w:t>
      </w:r>
      <w:r>
        <w:t xml:space="preserve">[</w:t>
      </w:r>
      <w:r>
        <w:rPr>
          <w:strike/>
        </w:rPr>
        <w:t xml:space="preserve">for</w:t>
      </w:r>
      <w:r>
        <w:t xml:space="preserve">] payment of damages from unauthorized discharges of oil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w:t>
      </w:r>
      <w:r>
        <w:t xml:space="preserve">] erosion response projects </w:t>
      </w:r>
      <w:r>
        <w:rPr>
          <w:u w:val="single"/>
        </w:rPr>
        <w:t xml:space="preserve">under Subchapter H, Chapter 33;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coastal resiliency projects identified in the Texas Coastal Resiliency Master Plan published by the General Land Office in 2017 or a successor plan</w:t>
      </w:r>
      <w:r>
        <w:t xml:space="preserve">.</w:t>
      </w:r>
    </w:p>
    <w:p w:rsidR="003F3435" w:rsidRDefault="0032493E">
      <w:pPr>
        <w:spacing w:line="480" w:lineRule="auto"/>
        <w:ind w:firstLine="720"/>
        <w:jc w:val="both"/>
      </w:pPr>
      <w:r>
        <w:t xml:space="preserve">(b)</w:t>
      </w:r>
      <w:r xml:space="preserve">
        <w:t> </w:t>
      </w:r>
      <w:r xml:space="preserve">
        <w:t> </w:t>
      </w:r>
      <w:r>
        <w:t xml:space="preserve">The coastal protection fund is established in the state treasury to be used by the commissioner as a nonlapsing revolving fund only for carrying out the purposes of this chapter and </w:t>
      </w:r>
      <w:r>
        <w:rPr>
          <w:u w:val="single"/>
        </w:rPr>
        <w:t xml:space="preserve">other purposes listed in Subsection (a)</w:t>
      </w:r>
      <w:r>
        <w:t xml:space="preserve"> </w:t>
      </w:r>
      <w:r>
        <w:t xml:space="preserve">[</w:t>
      </w:r>
      <w:r>
        <w:rPr>
          <w:strike/>
        </w:rPr>
        <w:t xml:space="preserve">of Subchapter H, Chapter 33</w:t>
      </w:r>
      <w:r>
        <w:t xml:space="preserve">].  To this fund shall be credited all fees, penalties, judgments, reimbursements, proceeds from the sale of a vessel or structure removed under Section 40.108, money forfeited under Section 77.119(e), Parks and Wildlife Code, interest or income on the fund, and charges provided for in this chapter and the fee revenues levied, collected, and credited pursuant to this chapter. The fund shall not exceed $50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does not authorize the General Land Office to carry out a coastal resiliency project described by Subsection (a)(3) that the General Land Office is not authorized by other law to carry out.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40.152(a),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disbursed for the following purposes and no others:</w:t>
      </w:r>
    </w:p>
    <w:p w:rsidR="003F3435" w:rsidRDefault="0032493E">
      <w:pPr>
        <w:spacing w:line="480" w:lineRule="auto"/>
        <w:ind w:firstLine="1440"/>
        <w:jc w:val="both"/>
      </w:pPr>
      <w:r>
        <w:t xml:space="preserve">(1)</w:t>
      </w:r>
      <w:r xml:space="preserve">
        <w:t> </w:t>
      </w:r>
      <w:r xml:space="preserve">
        <w:t> </w:t>
      </w:r>
      <w:r>
        <w:t xml:space="preserve">administrative expenses, personnel and training expenses, and equipment maintenance and operating costs related to implementation and enforcement of this chapter;</w:t>
      </w:r>
    </w:p>
    <w:p w:rsidR="003F3435" w:rsidRDefault="0032493E">
      <w:pPr>
        <w:spacing w:line="480" w:lineRule="auto"/>
        <w:ind w:firstLine="1440"/>
        <w:jc w:val="both"/>
      </w:pPr>
      <w:r>
        <w:t xml:space="preserve">(2)</w:t>
      </w:r>
      <w:r xml:space="preserve">
        <w:t> </w:t>
      </w:r>
      <w:r xml:space="preserve">
        <w:t> </w:t>
      </w:r>
      <w:r>
        <w:t xml:space="preserve">response costs related to abatement and containment of actual or threatened unauthorized discharges of oil incidental to unauthorized discharges of hazardous substances;</w:t>
      </w:r>
    </w:p>
    <w:p w:rsidR="003F3435" w:rsidRDefault="0032493E">
      <w:pPr>
        <w:spacing w:line="480" w:lineRule="auto"/>
        <w:ind w:firstLine="1440"/>
        <w:jc w:val="both"/>
      </w:pPr>
      <w:r>
        <w:t xml:space="preserve">(3)</w:t>
      </w:r>
      <w:r xml:space="preserve">
        <w:t> </w:t>
      </w:r>
      <w:r xml:space="preserve">
        <w:t> </w:t>
      </w:r>
      <w:r>
        <w:t xml:space="preserve">response costs and damages related to actual or threatened unauthorized discharges of oil;</w:t>
      </w:r>
    </w:p>
    <w:p w:rsidR="003F3435" w:rsidRDefault="0032493E">
      <w:pPr>
        <w:spacing w:line="480" w:lineRule="auto"/>
        <w:ind w:firstLine="1440"/>
        <w:jc w:val="both"/>
      </w:pPr>
      <w:r>
        <w:t xml:space="preserve">(4)</w:t>
      </w:r>
      <w:r xml:space="preserve">
        <w:t> </w:t>
      </w:r>
      <w:r xml:space="preserve">
        <w:t> </w:t>
      </w:r>
      <w:r>
        <w:t xml:space="preserve">assessment, restoration, rehabilitation, or replacement of or mitigation of damage to natural resources damaged by an unauthorized discharge of oil;</w:t>
      </w:r>
    </w:p>
    <w:p w:rsidR="003F3435" w:rsidRDefault="0032493E">
      <w:pPr>
        <w:spacing w:line="480" w:lineRule="auto"/>
        <w:ind w:firstLine="1440"/>
        <w:jc w:val="both"/>
      </w:pPr>
      <w:r>
        <w:t xml:space="preserve">(5)</w:t>
      </w:r>
      <w:r xml:space="preserve">
        <w:t> </w:t>
      </w:r>
      <w:r xml:space="preserve">
        <w:t> </w:t>
      </w:r>
      <w:r>
        <w:t xml:space="preserve">in an amount not to exceed $50,000 annually, the small spill education program;</w:t>
      </w:r>
    </w:p>
    <w:p w:rsidR="003F3435" w:rsidRDefault="0032493E">
      <w:pPr>
        <w:spacing w:line="480" w:lineRule="auto"/>
        <w:ind w:firstLine="1440"/>
        <w:jc w:val="both"/>
      </w:pPr>
      <w:r>
        <w:t xml:space="preserve">(6)</w:t>
      </w:r>
      <w:r xml:space="preserve">
        <w:t> </w:t>
      </w:r>
      <w:r xml:space="preserve">
        <w:t> </w:t>
      </w:r>
      <w:r>
        <w:t xml:space="preserve">in an amount not to exceed $1,250,000 annually, interagency contracts under Section 40.302;</w:t>
      </w:r>
    </w:p>
    <w:p w:rsidR="003F3435" w:rsidRDefault="0032493E">
      <w:pPr>
        <w:spacing w:line="480" w:lineRule="auto"/>
        <w:ind w:firstLine="1440"/>
        <w:jc w:val="both"/>
      </w:pPr>
      <w:r>
        <w:t xml:space="preserve">(7)</w:t>
      </w:r>
      <w:r xml:space="preserve">
        <w:t> </w:t>
      </w:r>
      <w:r xml:space="preserve">
        <w:t> </w:t>
      </w:r>
      <w:r>
        <w:t xml:space="preserve">the purchase of response equipment under Section 40.105 within two years of the effective date of this chapter, in an amount not to exceed $4 million; thereafter, for the purchase of equipment to replace equipment that is worn or obsolete;</w:t>
      </w:r>
    </w:p>
    <w:p w:rsidR="003F3435" w:rsidRDefault="0032493E">
      <w:pPr>
        <w:spacing w:line="480" w:lineRule="auto"/>
        <w:ind w:firstLine="1440"/>
        <w:jc w:val="both"/>
      </w:pPr>
      <w:r>
        <w:t xml:space="preserve">(8)</w:t>
      </w:r>
      <w:r xml:space="preserve">
        <w:t> </w:t>
      </w:r>
      <w:r xml:space="preserve">
        <w:t> </w:t>
      </w:r>
      <w:r>
        <w:t xml:space="preserve">other costs and damages authorized by this chapter;</w:t>
      </w:r>
    </w:p>
    <w:p w:rsidR="003F3435" w:rsidRDefault="0032493E">
      <w:pPr>
        <w:spacing w:line="480" w:lineRule="auto"/>
        <w:ind w:firstLine="1440"/>
        <w:jc w:val="both"/>
      </w:pPr>
      <w:r>
        <w:t xml:space="preserve">(9)</w:t>
      </w:r>
      <w:r xml:space="preserve">
        <w:t> </w:t>
      </w:r>
      <w:r xml:space="preserve">
        <w:t> </w:t>
      </w:r>
      <w:r>
        <w:t xml:space="preserve">in an amount not to exceed the interest accruing to the fund annually, erosion response projects under Subchapter H, Chapter 33;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rPr>
          <w:u w:val="single"/>
        </w:rPr>
        <w:t xml:space="preserve">coastal resiliency projects identified in the Texas Coastal Resiliency Master Plan published by the General Land Office in 2017 or a successor plan; and</w:t>
      </w:r>
    </w:p>
    <w:p w:rsidR="003F3435" w:rsidRDefault="0032493E">
      <w:pPr>
        <w:spacing w:line="480" w:lineRule="auto"/>
        <w:ind w:firstLine="1440"/>
        <w:jc w:val="both"/>
      </w:pPr>
      <w:r>
        <w:rPr>
          <w:u w:val="single"/>
        </w:rPr>
        <w:t xml:space="preserve">(11)</w:t>
      </w:r>
      <w:r xml:space="preserve">
        <w:t> </w:t>
      </w:r>
      <w:r xml:space="preserve">
        <w:t> </w:t>
      </w:r>
      <w:r>
        <w:t xml:space="preserve">in conjunction with the Railroad Commission of Texas, costs related to the plugging of abandoned or orphaned oil wells located on state-owned submerged lands.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40.153, Natural Resources Code, is amended to read as follows:</w:t>
      </w:r>
    </w:p>
    <w:p w:rsidR="003F3435" w:rsidRDefault="0032493E">
      <w:pPr>
        <w:spacing w:line="480" w:lineRule="auto"/>
        <w:ind w:firstLine="720"/>
        <w:jc w:val="both"/>
      </w:pPr>
      <w:r>
        <w:t xml:space="preserve">Sec.</w:t>
      </w:r>
      <w:r xml:space="preserve">
        <w:t> </w:t>
      </w:r>
      <w:r>
        <w:t xml:space="preserve">40.153.</w:t>
      </w:r>
      <w:r xml:space="preserve">
        <w:t> </w:t>
      </w:r>
      <w:r xml:space="preserve">
        <w:t> </w:t>
      </w:r>
      <w:r>
        <w:t xml:space="preserve">REIMBURSEMENT OF FUND.  The commissioner shall recover to the use of the fund, either from persons responsible for the unauthorized discharge or otherwise liable or from the federal fund, jointly and severally, all sums owed to or expended from the fund. This section does not apply to sums expended under Section 40.152(a)(9) </w:t>
      </w:r>
      <w:r>
        <w:rPr>
          <w:u w:val="single"/>
        </w:rPr>
        <w:t xml:space="preserve">or (10)</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40.161(c),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sum expended under Section 40.152(a)(9) </w:t>
      </w:r>
      <w:r>
        <w:rPr>
          <w:u w:val="single"/>
        </w:rPr>
        <w:t xml:space="preserve">or (10)</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134.002, Education Code;</w:t>
      </w:r>
    </w:p>
    <w:p w:rsidR="003F3435" w:rsidRDefault="0032493E">
      <w:pPr>
        <w:spacing w:line="480" w:lineRule="auto"/>
        <w:ind w:firstLine="1440"/>
        <w:jc w:val="both"/>
      </w:pPr>
      <w:r>
        <w:t xml:space="preserve">(2)</w:t>
      </w:r>
      <w:r xml:space="preserve">
        <w:t> </w:t>
      </w:r>
      <w:r xml:space="preserve">
        <w:t> </w:t>
      </w:r>
      <w:r>
        <w:t xml:space="preserve">Section 411.042(e), Government Code; and</w:t>
      </w:r>
    </w:p>
    <w:p w:rsidR="003F3435" w:rsidRDefault="0032493E">
      <w:pPr>
        <w:spacing w:line="480" w:lineRule="auto"/>
        <w:ind w:firstLine="1440"/>
        <w:jc w:val="both"/>
      </w:pPr>
      <w:r>
        <w:t xml:space="preserve">(3)</w:t>
      </w:r>
      <w:r xml:space="preserve">
        <w:t> </w:t>
      </w:r>
      <w:r xml:space="preserve">
        <w:t> </w:t>
      </w:r>
      <w:r>
        <w:t xml:space="preserve">Section 111.060, Human Resources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comptroller of public accounts shall abolish the following accounts and transfer any unobligated and unexpended balances in those accounts to the general revenue fund:</w:t>
      </w:r>
    </w:p>
    <w:p w:rsidR="003F3435" w:rsidRDefault="0032493E">
      <w:pPr>
        <w:spacing w:line="480" w:lineRule="auto"/>
        <w:ind w:firstLine="1440"/>
        <w:jc w:val="both"/>
      </w:pPr>
      <w:r>
        <w:t xml:space="preserve">(1)</w:t>
      </w:r>
      <w:r xml:space="preserve">
        <w:t> </w:t>
      </w:r>
      <w:r xml:space="preserve">
        <w:t> </w:t>
      </w:r>
      <w:r>
        <w:t xml:space="preserve">the Comprehensive Rehabilitation Account No.</w:t>
      </w:r>
      <w:r xml:space="preserve">
        <w:t> </w:t>
      </w:r>
      <w:r>
        <w:t xml:space="preserve">0107;</w:t>
      </w:r>
    </w:p>
    <w:p w:rsidR="003F3435" w:rsidRDefault="0032493E">
      <w:pPr>
        <w:spacing w:line="480" w:lineRule="auto"/>
        <w:ind w:firstLine="1440"/>
        <w:jc w:val="both"/>
      </w:pPr>
      <w:r>
        <w:t xml:space="preserve">(2)</w:t>
      </w:r>
      <w:r xml:space="preserve">
        <w:t> </w:t>
      </w:r>
      <w:r xml:space="preserve">
        <w:t> </w:t>
      </w:r>
      <w:r>
        <w:t xml:space="preserve">the Jobs and Education for Texans (JET) Account No.</w:t>
      </w:r>
      <w:r xml:space="preserve">
        <w:t> </w:t>
      </w:r>
      <w:r>
        <w:t xml:space="preserve">5143; and</w:t>
      </w:r>
    </w:p>
    <w:p w:rsidR="003F3435" w:rsidRDefault="0032493E">
      <w:pPr>
        <w:spacing w:line="480" w:lineRule="auto"/>
        <w:ind w:firstLine="1440"/>
        <w:jc w:val="both"/>
      </w:pPr>
      <w:r>
        <w:t xml:space="preserve">(3)</w:t>
      </w:r>
      <w:r xml:space="preserve">
        <w:t> </w:t>
      </w:r>
      <w:r xml:space="preserve">
        <w:t> </w:t>
      </w:r>
      <w:r>
        <w:t xml:space="preserve">the Operators and Chauffeurs License Account No.</w:t>
      </w:r>
      <w:r xml:space="preserve">
        <w:t> </w:t>
      </w:r>
      <w:r>
        <w:t xml:space="preserve">0099.</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