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86R23880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regulations for taking marl, sand, gravel, shell, or mudshell.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86.003, Parks and Wildlife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 single application form for an individual or general permit.  The form must require individual and general permit applicants to provide the same information,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publication of notice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daily or weekly newspaper with the greatest circulation in the county or counties affected by the issuance of the permit for three consecutive days, if daily;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newspaper published for the community closest to the proposed area of disturbance, if 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that notice was sent by certified mail to alongshore property owners of property one river mile above and below the proposed area of disturbance described in the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sedimentation impact assessment approved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amendments to the permit, if the application is for the renewal of a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86.006, Parks and Wildlife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permit issued under this chapter has a maximum term length of one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86, Parks and Wildlife Code, is amended by adding Section 86.0105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86.0105.</w:t>
      </w:r>
      <w:r>
        <w:rPr>
          <w:u w:val="single"/>
        </w:rPr>
        <w:t xml:space="preserve"> </w:t>
      </w:r>
      <w:r>
        <w:rPr>
          <w:u w:val="single"/>
        </w:rPr>
        <w:t xml:space="preserve"> </w:t>
      </w:r>
      <w:r>
        <w:rPr>
          <w:u w:val="single"/>
        </w:rPr>
        <w:t xml:space="preserve">REMOVAL REPORT.  A person holding a permit issued under this chapter shall deliver to the department a report stating how much marl, sand, gravel, shell, or mudshell was removed during the term of the permit.  The commission shall adopt rules regarding the delivery and format of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86.021, Parks and Wildlife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"unconsolidated sedimentary material" means loose gravel, sand, or other sedimentary material that has been transported by the flow of the watercourse. The term does not include solid bedrock or earthen banks.  A project results in an insignificant taking or disturbance of marl, sand, gravel, shell, or mudshell for purposes of Subsection (b)(1)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is noncommercial;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project takes or disturbs less than 125 cubic yards of dry unconsolidated sedimentary material within a 12-month period;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project occurs within an on-channel impoundment created by a dam originally constructed on or before December 31, 1955, and the dam crest has not been increased in height by more than six inches since initial construction;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taking or disturbance of unconsolidated sedimentary material does not occur outside of the impoundment in areas above dam crest elevation.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 86.003(c), Parks and Wildlife Code, as added by this Act, applies only to a permit application for the taking of  marl, sand, gravel, shell, or mudshell that is filed with the Parks and Wildlife Department on or after the effective date of this Act.  A permit application for the taking of marl, sand, gravel, shell, or mudshell filed before the effective date of this Act is governed by the law in effect when the permit application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86.006(d) and 86.0105, Parks and Wildlife Code, as added by this Act, apply only to a permit for the taking of marl, sand, gravel, shell, or mudshell issued on or after the effective date of this Act. </w:t>
      </w:r>
      <w:r>
        <w:t xml:space="preserve"> </w:t>
      </w:r>
      <w:r>
        <w:t xml:space="preserve">A permit for the taking of marl, sand, gravel, shell, or mudshell issued before the effective date of this Act is governed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