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86R4670 EAS-F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Morrison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2812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by certain municipalities of a perpetual trust fund for a cemetery.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713.008,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713.008.</w:t>
      </w:r>
      <w:r xml:space="preserve">
        <w:t> </w:t>
      </w:r>
      <w:r xml:space="preserve">
        <w:t> </w:t>
      </w:r>
      <w:r>
        <w:t xml:space="preserve">TERMINATION OF MUNICIPAL TRUST BY CERTAIN MUNICIPALITIES. </w:t>
      </w:r>
      <w:r>
        <w:t xml:space="preserve"> </w:t>
      </w: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applies to the</w:t>
      </w:r>
      <w:r>
        <w:t xml:space="preserve"> [</w:t>
      </w:r>
      <w:r>
        <w:rPr>
          <w:strike/>
        </w:rPr>
        <w:t xml:space="preserve">The</w:t>
      </w:r>
      <w:r>
        <w:t xml:space="preserve">] governing body of a municipality in a county with a population of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at least 128,000 but not more than 300,000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 least 20,000 but not more than 21,000.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governing body of a municipality to which this section applies</w:t>
      </w:r>
      <w:r>
        <w:t xml:space="preserve"> may abolish the municipality's perpetual trust fund for a cemetery and use the fund, including both principal and interest, for permanent improvements to the cemetery.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2812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