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statewide behavioral health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531, Government Code, is amended by adding Subchapter M-1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M-1.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BEHAVIORAL HEALTH COORDINATING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"council" means the statewide behavioral health coordinating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PURPOSE. </w:t>
      </w:r>
      <w:r>
        <w:rPr>
          <w:u w:val="single"/>
        </w:rPr>
        <w:t xml:space="preserve"> </w:t>
      </w:r>
      <w:r>
        <w:rPr>
          <w:u w:val="single"/>
        </w:rPr>
        <w:t xml:space="preserve">The council is established to ensure a strategic statewide approach to behavioral 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 OF COUNCIL.  (a) </w:t>
      </w:r>
      <w:r>
        <w:rPr>
          <w:u w:val="single"/>
        </w:rPr>
        <w:t xml:space="preserve"> </w:t>
      </w:r>
      <w:r>
        <w:rPr>
          <w:u w:val="single"/>
        </w:rPr>
        <w:t xml:space="preserve">The council is composed of at least one representative designated by each of the following entities: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governor's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Veterans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Civil Commitment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 Health Science Center at Houston;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 Health Science Center at Tyler;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Tech University Health Sciences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Criminal Justice;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Correctional Office on Offenders with Medical or Mental Impairments;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on Jail Standards;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Indigent Defense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of criminal appeals;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Juvenile Justice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Military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Education Agency;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Workforce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Professions Council, representing: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Dental Examiners;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State Board of Pharmacy;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Veterinary Medical Examiners;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Optometry Board;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Board of Nursing;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Medical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number of representatives that each entity may designate to serve on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authorize another state agency or institution that provides specific behavioral health services with the use of appropriated money to designate a representative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council member serves at the pleasure of the designating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mental health statewide coordinator shall serve as the presiding officer of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The council shall meet at least once quarterly or more frequently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AND DUTIES.  The council: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and monitor the implementation of a five-year statewide behavioral health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 biennial coordinated statewide behavioral health expenditure proposal;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annually publish an updated inventory of behavioral health programs and services that are funded by the state that includes a description of how those programs and services further the purpose of the statewide behavioral health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create subcommittees to carry out the council's duties under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facilitate opportunities to increase collaboration for the effective expenditure of available federal and state funds for behavioral and mental health services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2813 was passed by the House on May 8, 2019, by the following vote:</w:t>
      </w:r>
      <w:r xml:space="preserve">
        <w:t> </w:t>
      </w:r>
      <w:r xml:space="preserve">
        <w:t> </w:t>
      </w:r>
      <w:r>
        <w:t xml:space="preserve">Yeas 132, Nays 12,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2813 was passed by the Senate on May 22,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