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86R13306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and leave for certain employees of the fraud unit of the Texas Department of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w:t>
      </w:r>
      <w:r>
        <w:rPr>
          <w:strike/>
        </w:rPr>
        <w:t xml:space="preserve">or</w:t>
      </w:r>
      <w:r>
        <w:t xml:space="preserve">] the attorney general</w:t>
      </w:r>
      <w:r>
        <w:rPr>
          <w:u w:val="single"/>
        </w:rPr>
        <w:t xml:space="preserve">, or the insurance fraud unit of the Texas Department of Insurance</w:t>
      </w:r>
      <w:r>
        <w:t xml:space="preserve">;</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or</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661.918(a),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peace officer under Article 2.12, Code of Criminal Procedure, who is commissioned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attorney general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insurance fraud unit of the Texas Department of Insurance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701.104,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ensure that a peace officer commissioned under Subsection (a) is compensated according to Schedule C of the position classification salary schedule prescribed by the General Appropriations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classification officer in the office of the state auditor shall classify the position of commissioned peace officer employed by the insurance fraud unit of the Texas Department of Insurance as a Schedule C position under the Texas Position Classification Plan.</w:t>
      </w:r>
    </w:p>
    <w:p w:rsidR="003F3435" w:rsidRDefault="0032493E">
      <w:pPr>
        <w:spacing w:line="480" w:lineRule="auto"/>
        <w:ind w:firstLine="720"/>
        <w:jc w:val="both"/>
      </w:pPr>
      <w:r>
        <w:t xml:space="preserve">(b)</w:t>
      </w:r>
      <w:r xml:space="preserve">
        <w:t> </w:t>
      </w:r>
      <w:r xml:space="preserve">
        <w:t> </w:t>
      </w:r>
      <w:r>
        <w:t xml:space="preserve">The change made by the classification officer as required by this section applies beginning with the state fiscal biennium beginning September 1, 2019.</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661.918(a), Government Code, as amended by this Act, applies only to an injury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