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86R2805 JES-F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Lucio III</w:t>
      </w:r>
      <w:r xml:space="preserve">
        <w:tab wTab="150" tlc="none" cTlc="0"/>
      </w:r>
      <w:r>
        <w:t xml:space="preserve">H.B.</w:t>
      </w:r>
      <w:r xml:space="preserve">
        <w:t> </w:t>
      </w:r>
      <w:r>
        <w:t xml:space="preserve">No.</w:t>
      </w:r>
      <w:r xml:space="preserve">
        <w:t> </w:t>
      </w:r>
      <w:r>
        <w:t xml:space="preserve">2817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contractual relationship between a pharmacist or pharmacy and a health benefit plan issuer or pharmacy benefit manager.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1369, Insurance Code, is amended by adding Subchapter K to read as follows:</w:t>
      </w:r>
    </w:p>
    <w:p w:rsidR="003F3435" w:rsidRDefault="0032493E">
      <w:pPr>
        <w:spacing w:line="480" w:lineRule="auto"/>
        <w:jc w:val="center"/>
      </w:pPr>
      <w:r>
        <w:rPr>
          <w:u w:val="single"/>
        </w:rPr>
        <w:t xml:space="preserve">SUBCHAPTER K.  CONTRACTS WITH PHARMACISTS AND PHARMACIES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1369.501.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"Pharmacy benefit manager" means a person, other than a pharmacist or pharmacy, who acts as an administrator in connection with pharmacy benefits.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"Pharmacy services administrative organization" means an entity that contracts with a pharmacist or pharmacy to conduct on behalf of the pharmacist or pharmacy the pharmacist's or pharmacy's business with a third-party payor, including a pharmacy benefit manager, in connection with pharmacy benefits and to assist the pharmacist or pharmacy by providing administrative services, including negotiating, executing, and administering a contract with a third-party payor and communicating with the third-party payor in connection with a contract or pharmacy benefits.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1369.502.</w:t>
      </w:r>
      <w:r>
        <w:rPr>
          <w:u w:val="single"/>
        </w:rPr>
        <w:t xml:space="preserve"> </w:t>
      </w:r>
      <w:r>
        <w:rPr>
          <w:u w:val="single"/>
        </w:rPr>
        <w:t xml:space="preserve"> </w:t>
      </w:r>
      <w:r>
        <w:rPr>
          <w:u w:val="single"/>
        </w:rPr>
        <w:t xml:space="preserve">APPLICABILITY OF SUBCHAPTER.  (a)  This subchapter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offered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insurance company;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group hospital service corporation operating under Chapter 842;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health maintenance organization operating under Chapter 843;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approved nonprofit health corporation that holds a certificate of authority under Chapter 844;</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multiple employer welfare arrangement that holds a certificate of authority under Chapter 846;</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stipulated premium company operating under Chapter 884;</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fraternal benefit society operating under Chapter 885;</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Lloyd's plan operating under Chapter 941;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 exchange operating under Chapter 942.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this chapter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small employer health benefit plan subject to Chapter 1501, including coverage provided through a health group cooperative under Subchapter B of that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standard health benefit plan issued under Chapter 1507;</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health benefits provided by or through a church benefits board under Subchapter I, Chapter 22, Business Organizations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group health coverage made available by a school district in accordance with Section 22.004, Education Code;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regional or local health care program operated under Section 75.104, Health and Safety Code;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self-funded health benefit plan sponsored by a professional employer organization under Chapter 91, Labor Code;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county employee group health benefits provided under Chapter 157, Local Government Code;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health and accident coverage provided by a risk pool created under Chapter 172, Local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1369.503.</w:t>
      </w:r>
      <w:r>
        <w:rPr>
          <w:u w:val="single"/>
        </w:rPr>
        <w:t xml:space="preserve"> </w:t>
      </w:r>
      <w:r>
        <w:rPr>
          <w:u w:val="single"/>
        </w:rPr>
        <w:t xml:space="preserve"> </w:t>
      </w:r>
      <w:r>
        <w:rPr>
          <w:u w:val="single"/>
        </w:rPr>
        <w:t xml:space="preserve">PERFORMANCE MEASURES AND RELATED FEES.  (a)  A health benefit plan issuer or pharmacy benefit manager that establishes a contractual pharmacy performance measure or pay for performance pharmacy network shall evaluate the performance of pharmacists or pharmacies for purposes of that measure or network using a nationally recognized performance information management tool that provides standardized, benchmarked data to improve pharmacy performance.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health benefit plan issuer or pharmacy benefit manager may not directly or indirectly charge or hold a pharmacist or pharmacy responsible for a fee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pharmacist or pharmacy uses the performance information management tool described by Subsection (a) to produce a score or metric for patient care;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score or metric is within the criteria identified by the health benefit plan issuer or pharmacy benefit manager using the data provided by the performance information management tool.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health benefit plan issuer or pharmacy benefit manager imposes a fee on a pharmacist or pharmacy based on a score or metric produced by the performance information management tool described by Subsection (a), the health benefit plan issuer or pharmacy benefit manager: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recover the fee as an offset against the professional dispensing fee owed under the contract with the pharmacist or pharmacy;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recover the fee as an offset against any other amount owed to the pharmacist or pharmacy under the contract.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1369.504.</w:t>
      </w:r>
      <w:r>
        <w:rPr>
          <w:u w:val="single"/>
        </w:rPr>
        <w:t xml:space="preserve"> </w:t>
      </w:r>
      <w:r>
        <w:rPr>
          <w:u w:val="single"/>
        </w:rPr>
        <w:t xml:space="preserve"> </w:t>
      </w:r>
      <w:r>
        <w:rPr>
          <w:u w:val="single"/>
        </w:rPr>
        <w:t xml:space="preserve">DISCLOSURE OF PHARMACY SERVICES ADMINISTRATIVE ORGANIZATION CONTRACT.  A pharmacist or pharmacy that is a member of a pharmacy services administrative organization that enters into a contract with a health benefit plan issuer or pharmacy benefit manager on the pharmacist's or pharmacy's behalf is entitled to receive a copy of the contract.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1369.505.</w:t>
      </w:r>
      <w:r>
        <w:rPr>
          <w:u w:val="single"/>
        </w:rPr>
        <w:t xml:space="preserve"> </w:t>
      </w:r>
      <w:r>
        <w:rPr>
          <w:u w:val="single"/>
        </w:rPr>
        <w:t xml:space="preserve"> </w:t>
      </w:r>
      <w:r>
        <w:rPr>
          <w:u w:val="single"/>
        </w:rPr>
        <w:t xml:space="preserve">DELIVERY OF DRUGS.  A health benefit plan issuer or pharmacy benefit manager may not as a condition of a contract with a pharmacist or pharmacy prohibit the pharmacist or pharmacy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mailing or delivering drugs to a patient as an ancillary service of the pharmacist or pharmacy as otherwise allowed by law;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charging a shipping and handling fee to a patient requesting a prescription be mailed or delivered.</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1369.506.</w:t>
      </w:r>
      <w:r>
        <w:rPr>
          <w:u w:val="single"/>
        </w:rPr>
        <w:t xml:space="preserve"> </w:t>
      </w:r>
      <w:r>
        <w:rPr>
          <w:u w:val="single"/>
        </w:rPr>
        <w:t xml:space="preserve"> </w:t>
      </w:r>
      <w:r>
        <w:rPr>
          <w:u w:val="single"/>
        </w:rPr>
        <w:t xml:space="preserve">PROFESSIONAL STANDARDS AND SCOPE OF PRACTICE REQUIREMENTS.  A health benefit plan issuer or pharmacy benefit manager may not as a condition of a contract with a pharmacist or pharmacy: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pharmacist or pharmacy accreditation standards or recertification requirements inconsistent with, more stringent than, or in addition to federal and state requirements for licensure as a pharmacist or pharmacy in this state;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prohibit a licensed pharmacist or pharmacy from dispensing any drug that may be dispensed under the pharmacist's or pharmacy's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1369.507.</w:t>
      </w:r>
      <w:r>
        <w:rPr>
          <w:u w:val="single"/>
        </w:rPr>
        <w:t xml:space="preserve"> </w:t>
      </w:r>
      <w:r>
        <w:rPr>
          <w:u w:val="single"/>
        </w:rPr>
        <w:t xml:space="preserve"> </w:t>
      </w:r>
      <w:r>
        <w:rPr>
          <w:u w:val="single"/>
        </w:rPr>
        <w:t xml:space="preserve">WAIVER PROHIBITED.  The provisions of this subchapter may not be waived, voided, or nullified by contract.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1369.508.</w:t>
      </w:r>
      <w:r>
        <w:rPr>
          <w:u w:val="single"/>
        </w:rPr>
        <w:t xml:space="preserve"> </w:t>
      </w:r>
      <w:r>
        <w:rPr>
          <w:u w:val="single"/>
        </w:rPr>
        <w:t xml:space="preserve"> </w:t>
      </w:r>
      <w:r>
        <w:rPr>
          <w:u w:val="single"/>
        </w:rPr>
        <w:t xml:space="preserve">UNFAIR OR DECEPTIVE ACT OR PRACTICE.  A violation of this subchapter by a health benefit plan issuer or pharmacy benefit manager is an unfair or deceptive act or practice in the business of insurance under Chapter 541.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contract entered into or renewed on or after the effective date of this Act.  A contract entered into or renewed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