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86R14051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Lambert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grant program for school districts to provide career and technology education courses in the summer and to a study on the grant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29, Education Code, is amended by adding Sections 29.194 and 29.1941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29.194.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SUMMER CAREER AND TECHNOLOGY EDUCATION GRANT PROGRAM.  (a) </w:t>
      </w:r>
      <w:r>
        <w:rPr>
          <w:u w:val="single"/>
        </w:rPr>
        <w:t xml:space="preserve"> </w:t>
      </w:r>
      <w:r>
        <w:rPr>
          <w:u w:val="single"/>
        </w:rPr>
        <w:t xml:space="preserve">From funds appropriated or available for the purpose, the commissioner, in cooperation with an appropriate private entity, shall establish a grant program to provide funding to school districts for career and technology education courses offered during the summer.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solicit and accept gifts, donations, or other contributions for the grant program established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29.1941.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ON SUMMER CAREER AND TECHNOLOGY EDUCATION GRANT PROGRAM.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From funds appropriated or available for the purpose, the commissioner, in cooperation with an appropriate private entity, shall conduct a study regarding the summer career and technology education grant program established under Section 29.194. </w:t>
      </w:r>
      <w:r>
        <w:rPr>
          <w:u w:val="single"/>
        </w:rPr>
        <w:t xml:space="preserve"> </w:t>
      </w:r>
      <w:r>
        <w:rPr>
          <w:u w:val="single"/>
        </w:rPr>
        <w:t xml:space="preserve">The study must analyze: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success of the grant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feasibility of expanding the grant program, including by funding career and technology education courses offered during the summer through the Foundation School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potential demand for career and technology education courses during the summer;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future funding needs for the grant program or for providing career and technology education courses during the summer;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matter the commissioner determines appropriate.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1, 2020, the commissioner shall submit to the governor and the members of the legislature a report on the results of the study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solicit and accept gifts, donations, or other contributions for the study and report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29.194, Education Code, as added by this Act,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