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et al.</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2828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exception of certain information related to the humane disposition by a municipality or county of an animal from required disclosure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552.1177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552.1177.</w:t>
      </w:r>
      <w:r>
        <w:rPr>
          <w:u w:val="single"/>
        </w:rPr>
        <w:t xml:space="preserve"> </w:t>
      </w:r>
      <w:r>
        <w:rPr>
          <w:u w:val="single"/>
        </w:rPr>
        <w:t xml:space="preserve"> </w:t>
      </w:r>
      <w:r>
        <w:rPr>
          <w:u w:val="single"/>
        </w:rPr>
        <w:t xml:space="preserve">EXCEPTION: CONFIDENTIALITY OF CERTAIN INFORMATION RELATED TO HUMANE DISPOSITION OF ANIMAL. </w:t>
      </w:r>
      <w:r>
        <w:rPr>
          <w:u w:val="single"/>
        </w:rPr>
        <w:t xml:space="preserve"> </w:t>
      </w:r>
      <w:r>
        <w:rPr>
          <w:u w:val="single"/>
        </w:rPr>
        <w:t xml:space="preserve">(a) </w:t>
      </w:r>
      <w:r>
        <w:rPr>
          <w:u w:val="single"/>
        </w:rPr>
        <w:t xml:space="preserve"> </w:t>
      </w:r>
      <w:r>
        <w:rPr>
          <w:u w:val="single"/>
        </w:rPr>
        <w:t xml:space="preserve">Except as provided by Subsection (b), information is confidential and excepted from the requirements of Section 552.021 if the information relates to the name, address, telephone number, e-mail address, driver's license number, social security number, or other personally identifying information of a person who obtains ownership or control of an animal from a municipality or county making a humane disposition of the animal under a municipal ordinance or an order of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may disclose information made confidential by Subsection (a) to a governmental entity, or to a person who under a contract with a governmental entity provides animal control services, animal registration services, or related services to the governmental entity, for purposes related to the protection of public health and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or other person that receives information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maintain the confidentiality of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disclose the information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use the information for a purpose that does not directly relate to the protection of public health and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by providing public information under Subsection (b)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request for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