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86R5708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2835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defense to prosecution for the criminal offense of operating a vehicle with an expired license plate.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502.407, Transportation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under this section that at the time of the offense: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office of the county assessor-collector for the county in which the owner of the vehicle resided was closed for a protracted period of time in accordance with Section 502.040(b)(2);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vehicle's registration was expired for 30 working days or less.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