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et al.</w:t>
      </w:r>
      <w:r xml:space="preserve">
        <w:tab wTab="150" tlc="none" cTlc="0"/>
      </w:r>
      <w:r>
        <w:t xml:space="preserve">H.B.</w:t>
      </w:r>
      <w:r xml:space="preserve">
        <w:t> </w:t>
      </w:r>
      <w:r>
        <w:t xml:space="preserve">No.</w:t>
      </w:r>
      <w:r xml:space="preserve">
        <w:t> </w:t>
      </w:r>
      <w:r>
        <w:t xml:space="preserve">2846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 Birdwell, Taylor)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24,</w:t>
      </w:r>
      <w:r xml:space="preserve">
        <w:t> </w:t>
      </w:r>
      <w:r>
        <w:t xml:space="preserve">2019, read first time and referred to Committee on Water &amp; Rural Affairs; May</w:t>
      </w:r>
      <w:r xml:space="preserve">
        <w:t> </w:t>
      </w:r>
      <w:r>
        <w:t xml:space="preserve">13,</w:t>
      </w:r>
      <w:r xml:space="preserve">
        <w:t> </w:t>
      </w:r>
      <w:r>
        <w:t xml:space="preserve">2019, reported favorably by the following vote:</w:t>
      </w:r>
      <w:r>
        <w:t xml:space="preserve"> </w:t>
      </w:r>
      <w:r>
        <w:t xml:space="preserve"> </w:t>
      </w:r>
      <w:r>
        <w:t xml:space="preserve">Yeas 5, Nays 1;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sale of the Allens Creek Reservoir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 Chapter 1291, Acts of the 76th Legislature, Regular Session, 1999, is amended by adding Section 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w:t>
      </w:r>
      <w:r>
        <w:rPr>
          <w:u w:val="single"/>
        </w:rPr>
        <w:t xml:space="preserve"> </w:t>
      </w:r>
      <w:r>
        <w:rPr>
          <w:u w:val="single"/>
        </w:rPr>
        <w:t xml:space="preserve"> </w:t>
      </w:r>
      <w:r>
        <w:rPr>
          <w:u w:val="single"/>
        </w:rPr>
        <w:t xml:space="preserve">(a)  Notwithstanding any other provision of this article, not later than January 1, 2020, the City of Houston shall enter into a contractual agreement with the Brazos River Authority to transfer to the Brazos River Authority all of the city's ownership interests in the Allens Creek Reservoir project, including all required water right permits, along with the responsibility to construct the project in accordance with all associated statutory requirements and deadlines.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Construction of the reservoir is subject to the Brazos River Authority obtaining all necessary federal permits.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other necessary provisions, the contractual agreement described by Subsection (a) must include provisions for the transfer of an amount not to exceed $23 million from the Brazos River Authority to the City of Houston.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