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86R21776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2855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2855:</w:t>
      </w: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C.S.H.B.</w:t>
      </w:r>
      <w:r xml:space="preserve">
        <w:t> </w:t>
      </w:r>
      <w:r>
        <w:t xml:space="preserve">No.</w:t>
      </w:r>
      <w:r xml:space="preserve">
        <w:t> </w:t>
      </w:r>
      <w:r>
        <w:t xml:space="preserve">2855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A&amp;M Transportation Institute on the impacts to state and local roads and bridges from increasing maximum weight limits for certain vehicles transporting sand.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Texas A&amp;M Transportation Institute shall conduct a study on the estimated impacts to state and local roads and bridges, including impacts on traffic volume and safety on those roads and bridges, resulting from increasing the maximum allowable weight limits established by Subtitle E, Title 7, Transportation Code, for a truck-tractor and semitrailer combination transporting sand at the gross weights and axle requirements specified by Section 623.402, Transportation Code, as added by Chapter 108 (S.B. 1524), Acts of the 85th Legislature, Regular Session, 2017.</w:t>
      </w:r>
    </w:p>
    <w:p w:rsidR="003F3435" w:rsidRDefault="0032493E">
      <w:pPr>
        <w:spacing w:line="480" w:lineRule="auto"/>
        <w:ind w:firstLine="720"/>
        <w:jc w:val="both"/>
      </w:pPr>
      <w:r>
        <w:t xml:space="preserve">(b)</w:t>
      </w:r>
      <w:r xml:space="preserve">
        <w:t> </w:t>
      </w:r>
      <w:r xml:space="preserve">
        <w:t> </w:t>
      </w:r>
      <w:r>
        <w:t xml:space="preserve">Not later than October 1, 2020, the Texas A&amp;M Transportation Institute shall submit a report on the results of the study to each standing committee of the legislature with jurisdiction over transportation matters.</w:t>
      </w:r>
    </w:p>
    <w:p w:rsidR="003F3435" w:rsidRDefault="0032493E">
      <w:pPr>
        <w:spacing w:line="480" w:lineRule="auto"/>
        <w:ind w:firstLine="720"/>
        <w:jc w:val="both"/>
      </w:pPr>
      <w:r>
        <w:t xml:space="preserve">(c)</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