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precious metals held in a depository in this state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PRECIOUS METALS HELD IN DEPOSITORY.  (a)  Precious metals are exempt from taxation if they are held in a commercial  depository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"precious metals" has the meaning assigned by Section 2116.001,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a "commercial  depository" is a depository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primarily engaged in the business of providing precious metals storage services to 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sufficient insurance to cover one hundred percent of precious metals deposits held within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 Tax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11.145, 11.146, 11.15, 11.16, 11.161, [</w:t>
      </w:r>
      <w:r>
        <w:rPr>
          <w:strike/>
        </w:rPr>
        <w:t xml:space="preserve">or</w:t>
      </w:r>
      <w:r>
        <w:t xml:space="preserve">] 11.25</w:t>
      </w:r>
      <w:r>
        <w:rPr>
          <w:u w:val="single"/>
        </w:rPr>
        <w:t xml:space="preserve">, or 11.35</w:t>
      </w:r>
      <w:r>
        <w:t xml:space="preserve"> of this code,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86th Legislature, Regular Session, 2019, authorizing the legislature by general law to exempt from ad valorem taxation precious metals held in a depository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