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86R5806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competitive bidding requirements to expenditures for certain municipal utility facility relocations.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252.022, Local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This chapter does not apply to an expenditure for the relocation or adjustment of a municipally owned utility facility if the relocation or adjustment: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as a result of the construction of a state transportation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performed by the entity procured by the state to construct the state transportation project or a subcontractor of that entity.</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 </w:t>
      </w:r>
      <w:r>
        <w:t xml:space="preserve"> </w:t>
      </w:r>
      <w:r>
        <w:t xml:space="preserve">Except as provided by Subsection (b), the change in law made by this Act applies only to an expenditure under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An expenditure under a contract for which a request for bids, proposals, offers, or qualifications or a similar solicitation was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