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2868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procurement of interior design services by a 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2254.002(2),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"Professional services" means services: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within the scope of the practice, as defined by state law, of: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accounting;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architecture;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landscape architecture;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land surveying;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medicine;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optometry;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professional engineering;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real estate appraising;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professional nursing;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provided in connection with the professional employment or practice of a person who is licensed or registered as: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certified public accountant;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an architect;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 landscape architect;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a land surveyor;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a physician, including a surgeon;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an optometrist;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a professional engineer;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a state certified or state licensed real estate appraiser;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a registered nurse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provided by a person lawfully engaged in interior design, regardless of whether the person is registered as an interior designer under Chapter 1053, Occupations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2254.002(2), Government Code, as amended by this Act, applies only to a contract entered into on or after October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2868 was passed by the House on April 17, 2019, by the following vote:</w:t>
      </w:r>
      <w:r xml:space="preserve">
        <w:t> </w:t>
      </w:r>
      <w:r xml:space="preserve">
        <w:t> </w:t>
      </w:r>
      <w:r>
        <w:t xml:space="preserve">Yeas 135, Nays 7,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2868 was passed by the Senate on May 22, 2019, by the following vote:</w:t>
      </w:r>
      <w:r xml:space="preserve">
        <w:t> </w:t>
      </w:r>
      <w:r xml:space="preserve">
        <w:t> </w:t>
      </w:r>
      <w:r>
        <w:t xml:space="preserve">Yeas 25, Nays 6.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