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86R11852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2876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22.011(f), Penal Code, is amended to read as follows:</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 a felony of the first degree if the victim was</w:t>
      </w:r>
      <w:r>
        <w:rPr>
          <w:u w:val="single"/>
        </w:rPr>
        <w:t xml:space="preserve">, without regard to legitimacy, the 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ancestor or descendant by blood or adoption;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current or former stepchild or stepparent</w:t>
      </w:r>
      <w:r>
        <w:t xml:space="preserve"> [</w:t>
      </w:r>
      <w:r>
        <w:rPr>
          <w:strike/>
        </w:rPr>
        <w:t xml:space="preserve">a person whom the actor was prohibited from marrying or purporting to marry or with whom the actor was prohibited from living under the appearance of being married under Section 25.01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