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86R29393 GRM-F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2882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2882: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2882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recovery in a civil action of damages attributable to excavation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251.008,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251.008.</w:t>
      </w:r>
      <w:r xml:space="preserve">
        <w:t> </w:t>
      </w:r>
      <w:r xml:space="preserve">
        <w:t> </w:t>
      </w:r>
      <w:r>
        <w:t xml:space="preserve">EFFECT ON CIVIL REMEDIES.  Except as otherwise specifically provided by </w:t>
      </w:r>
      <w:r>
        <w:rPr>
          <w:u w:val="single"/>
        </w:rPr>
        <w:t xml:space="preserve">Section 251.204 or another provision of</w:t>
      </w:r>
      <w:r>
        <w:t xml:space="preserve"> this chapter, this chapter, including Section 251.201, does not affect any civil remedy for personal injury or for property damage, including any damage to an underground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251, Utilities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PENALTIES </w:t>
      </w:r>
      <w:r>
        <w:rPr>
          <w:u w:val="single"/>
        </w:rPr>
        <w:t xml:space="preserve">AND REMEDIES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251, Utilities Code, is amended by adding Section 251.204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 </w:t>
      </w:r>
      <w:r>
        <w:rPr>
          <w:u w:val="single"/>
        </w:rPr>
        <w:t xml:space="preserve"> </w:t>
      </w:r>
      <w:r>
        <w:rPr>
          <w:u w:val="single"/>
        </w:rPr>
        <w:t xml:space="preserve">An operator or excavator may file a civil action for damages arising from a violation of Section 251.151, 251.152, 251.154, 251.155, 251.157, or 251.159.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civil action filed under this section the substantially prevailing party may recover reasonable attorney's fees, court costs, and other expenses incurred in the action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substantially prevailing party was represented by an attorney;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substantially prevailing party presents the claim to the opposing party or the opposing party's authorized agent;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payment for the just amount owed is not tendered before the expiration of the 30th day after the claim is presented.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Venue for a civil action under this section is determined on the same basis as under Section 251.201(e).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civil action under this section is in addition to any other procedure or remedy provided by law, including Section 251.201.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251.204, Utilities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2882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