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86R11811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Dallas, 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public officers and employees engaged in certain military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437.202,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leave provided under Subsection (a), a person described by Subsection (a) called to state active duty by the governor or another appropriate authority in response to a disaster is entitled to a paid leave of absence from the person's duties for each day the person is called to active duty during the disaster, not to exceed seven workdays in a fiscal year.  During a leave of absence under this subsection, the person may not be subjected to loss of time, efficiency rating, personal time, sick leave, or vacation time.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subsection, "disaster"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