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86R22107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2891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2891:</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an individual or corporation,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rPr>
          <w:u w:val="single"/>
        </w:rPr>
        <w:t xml:space="preserve">a</w:t>
      </w:r>
      <w:r>
        <w:t xml:space="preserve"> killed or injured </w:t>
      </w:r>
      <w:r>
        <w:rPr>
          <w:u w:val="single"/>
        </w:rPr>
        <w:t xml:space="preserve">livestock animal, as defined by Section 92.001</w:t>
      </w:r>
      <w:r>
        <w:t xml:space="preserve"> [</w:t>
      </w:r>
      <w:r>
        <w:rPr>
          <w:strike/>
        </w:rPr>
        <w:t xml:space="preserve">stock</w:t>
      </w:r>
      <w:r>
        <w:t xml:space="preserve">];</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