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86R9184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to establish a multiple employer welfare arrangement.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846.053, Insurance Code, is amended by amending Subsections (b) and (c) and adding Subsection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as both an employer and as an employee of the trade or industry for the purposes of this section. </w:t>
      </w:r>
      <w:r>
        <w:rPr>
          <w:u w:val="single"/>
        </w:rPr>
        <w:t xml:space="preserve"> </w:t>
      </w:r>
      <w:r>
        <w:rPr>
          <w:u w:val="single"/>
        </w:rPr>
        <w:t xml:space="preserve">In this subsection, "working owner" means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right of any nature in a trade or business, whether incorporated or unincorporated, including a partner and other self-employed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earns wages or self-employment income from the trade or business for providing personal services to the trade or business;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works on average at least 20 hours per week or at least 80 hours per month providing personal services to the working owner's trade or business;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wages or self-employment income from the individual's trade or business that at least equals the individual's cost of coverage for participation by the individual and any covered beneficiaries in the group health plan sponsored by the group or association in which the individual is participating.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2020. An application submitted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