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86R24156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2898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2898: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outside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64.009,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64.009.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FOR CERTAIN VOTERS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64.009, Election Code, is amended by adding Subsections (a-1)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conducting the election may permit a voter who is a parent or legal guardian of a child who is five years of age or younger and is accompanied by that child to vote in the same manner as a voter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state, in cooperation with county elections administrators, shall conduct a study to determine the best practices in conducting voting under Subsection (a-1).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December 31, 2020, the secretary of state shall report the study's findings to the committees of each house of the legislature with jurisdiction over elections.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expires on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85.034,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85.034.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FOR CERTAIN VOTERS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