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2899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liability and responsibility for defects in the plans, specifications, or other documents for the construction or repair of roads, highways, and related improvements.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6, Transportation Code, is amended by adding Chapter 473 to read as follows:</w:t>
      </w:r>
    </w:p>
    <w:p w:rsidR="003F3435" w:rsidRDefault="0032493E">
      <w:pPr>
        <w:spacing w:line="480" w:lineRule="auto"/>
        <w:jc w:val="center"/>
      </w:pPr>
      <w:r>
        <w:rPr>
          <w:u w:val="single"/>
        </w:rPr>
        <w:t xml:space="preserve">CHAPTER 473. </w:t>
      </w:r>
      <w:r>
        <w:rPr>
          <w:u w:val="single"/>
        </w:rPr>
        <w:t xml:space="preserve"> </w:t>
      </w:r>
      <w:r>
        <w:rPr>
          <w:u w:val="single"/>
        </w:rPr>
        <w:t xml:space="preserve">RESPONSIBILITY FOR DEFECTS IN PLANS AND SPECIFICATIONS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473.001.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means a contract for the construction or repair of a road or highway of any number of lanes, with or without grade separation, owned or operated by a governmental entity, and any improvement, extension, or expansion to that road or highway,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improvement to relieve traffic congestion and promote safety;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bridge, tunnel, overpass, underpass, interchange, service road ramp, entrance plaza, approach, or tollhouse;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parking area or structure, rest stop, park, or other improvement or amenity the governmental entity considers necessary, useful, or beneficial for the operation of a road or highway.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"Contractor" means a person who is required to perform work under a contract.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"Governmental entity" means (A) the Texas Department of Transportation or (B) any political subdivision of the state that is acting under Chapter 284, Chapter 366, Chapter 370, or Chapter 431 of the Transportation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"Project specifications" means plans, reports, designs, or specifications prepared by a governmental entity, or by a third party retained by a governmental entity under separate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473.002</w:t>
      </w:r>
      <w:r>
        <w:rPr>
          <w:u w:val="single"/>
        </w:rPr>
        <w:t xml:space="preserve"> </w:t>
      </w:r>
      <w:r>
        <w:rPr>
          <w:u w:val="single"/>
        </w:rPr>
        <w:t xml:space="preserve"> </w:t>
      </w:r>
      <w:r>
        <w:rPr>
          <w:u w:val="single"/>
        </w:rPr>
        <w:t xml:space="preserve">APPLICABILITY OF CHAPTER TO GOVERNMENTAL ENTITIES.  This chapter applies to a governmental entity authorized by state law to make a contract and to any contractor with whom a governmental entity enters into a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473.003.</w:t>
      </w:r>
      <w:r>
        <w:rPr>
          <w:u w:val="single"/>
        </w:rPr>
        <w:t xml:space="preserve"> </w:t>
      </w:r>
      <w:r>
        <w:rPr>
          <w:u w:val="single"/>
        </w:rPr>
        <w:t xml:space="preserve"> </w:t>
      </w:r>
      <w:r>
        <w:rPr>
          <w:u w:val="single"/>
        </w:rPr>
        <w:t xml:space="preserve">LIMITATION ON CONTRACTOR'S RESPONSIBILITY FOR CERTAIN DEFECTS. </w:t>
      </w:r>
      <w:r>
        <w:rPr>
          <w:u w:val="single"/>
        </w:rPr>
        <w:t xml:space="preserve"> </w:t>
      </w:r>
      <w:r>
        <w:rPr>
          <w:u w:val="single"/>
        </w:rPr>
        <w:t xml:space="preserve">(a) </w:t>
      </w:r>
      <w:r>
        <w:rPr>
          <w:u w:val="single"/>
        </w:rPr>
        <w:t xml:space="preserve"> </w:t>
      </w:r>
      <w:r>
        <w:rPr>
          <w:u w:val="single"/>
        </w:rPr>
        <w:t xml:space="preserve">A contractor who enters into a contract as defined by this chapter with a governmental entity is not civilly liable or otherwise responsible for the accuracy, adequacy, sufficiency, suitability, or feasibility of any project specifications and is not liable for any damage that is caused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defect in those project specifications;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errors, omissions, or negligent acts of a governmental entity, or of a third party retained by a governmental entity under separate contract, in the rendition or conduct of professional duties arising out of or related to the project specifications.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covenant or promise in a contract governed by this chapter is void and unenforceable to the extent it conflicts with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changes in law made by this Act do not apply to a contract that is entered into before the effective date of this Act. Such a contract is governed by the law in effect when the contract was entered into,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 contract subject to this chapter with a governmental entity that is entered into before the effective date of this Act, and any subcontract or purchase order for furnishing labor or materials associated with that contract, regardless of whether the purchase order is entered into before, on, or after the effective date of this Act, is governed by the law in effect when the original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