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2899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2019; May</w:t>
      </w:r>
      <w:r xml:space="preserve">
        <w:t> </w:t>
      </w:r>
      <w:r>
        <w:t xml:space="preserve">1,</w:t>
      </w:r>
      <w:r xml:space="preserve">
        <w:t> </w:t>
      </w:r>
      <w:r>
        <w:t xml:space="preserve">2019, read first time and referred to Committee on Transportation; May</w:t>
      </w:r>
      <w:r xml:space="preserve">
        <w:t> </w:t>
      </w:r>
      <w:r>
        <w:t xml:space="preserve">8,</w:t>
      </w:r>
      <w:r xml:space="preserve">
        <w:t> </w:t>
      </w:r>
      <w:r>
        <w:t xml:space="preserve">2019, reported favorably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civil liability and responsibility for defects in the plans, specifications, or other documents for the construction or repair of roads, highways, and related improvements.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6, Transportation Code, is amended by adding Chapter 473 to read as follows:</w:t>
      </w:r>
    </w:p>
    <w:p w:rsidR="003F3435" w:rsidRDefault="0032493E">
      <w:pPr>
        <w:spacing w:line="480" w:lineRule="auto"/>
        <w:jc w:val="center"/>
      </w:pPr>
      <w:r>
        <w:rPr>
          <w:u w:val="single"/>
        </w:rPr>
        <w:t xml:space="preserve">CHAPTER 473.  RESPONSIBILITY FOR DEFECTS IN PLANS AND SPECIFICATIONS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means a contract for the construction or repair of a road or highway of any number of lanes, with or without grade separation, owned or operated by a governmental entity and any improvement, extension, or expansion to that road or highway,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improvement to relieve traffic congestion and promote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bridge, tunnel, overpass, underpass, interchange, service road ramp, entrance plaza, approach, or tollhouse;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parking area or structure, rest stop, park, or other improvement or amenity the governmental entity considers necessary, useful, or beneficial for the operation of a road or highway.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who is required to perform work under a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Department of Transportation;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political subdivision of the state that is acting under Chapter 284, 366, 370, or 431.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"Project specifications" means plans, reports, designs, or specifications prepared by a governmental entity or by a third party retained by a governmental entity under a separate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473.002.</w:t>
      </w:r>
      <w:r>
        <w:rPr>
          <w:u w:val="single"/>
        </w:rPr>
        <w:t xml:space="preserve"> </w:t>
      </w:r>
      <w:r>
        <w:rPr>
          <w:u w:val="single"/>
        </w:rPr>
        <w:t xml:space="preserve"> </w:t>
      </w:r>
      <w:r>
        <w:rPr>
          <w:u w:val="single"/>
        </w:rPr>
        <w:t xml:space="preserve">APPLICABILITY.  This chapter applies to a governmental entity authorized by state law to make a contract and to any contractor with whom a governmental entity enters into a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473.003.</w:t>
      </w:r>
      <w:r>
        <w:rPr>
          <w:u w:val="single"/>
        </w:rPr>
        <w:t xml:space="preserve"> </w:t>
      </w:r>
      <w:r>
        <w:rPr>
          <w:u w:val="single"/>
        </w:rPr>
        <w:t xml:space="preserve"> </w:t>
      </w:r>
      <w:r>
        <w:rPr>
          <w:u w:val="single"/>
        </w:rPr>
        <w:t xml:space="preserve">LIMITATION ON CONTRACTOR'S RESPONSIBILITY FOR CERTAIN DEFECTS.  (a)  A contractor who enters into a contract with a governmental entity is not civilly liable or otherwise responsible for the accuracy, adequacy, sufficiency, suitability, or feasibility of any project specifications and is not liable for any damage to the extent caused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defect in those project specifications;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errors, omissions, or negligent acts of a governmental entity, or of a third party retained by a governmental entity under a separate contract, in the rendition or conduct of professional duties arising out of or related to the project specifications.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covenant or promise contained in a contract governed by this chapter is void and unenforceable to the extent that the covenant or promise conflicts with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consultant retained in a separate contract by a governmental entity to expressly monitor the compliance with project specifications by another contractor with whom the governmental entity has entered into a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relieve a contractor from the contractor's obligations or liability under a contract with a governmental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473.004.</w:t>
      </w:r>
      <w:r>
        <w:rPr>
          <w:u w:val="single"/>
        </w:rPr>
        <w:t xml:space="preserve"> </w:t>
      </w:r>
      <w:r>
        <w:rPr>
          <w:u w:val="single"/>
        </w:rPr>
        <w:t xml:space="preserve"> </w:t>
      </w:r>
      <w:r>
        <w:rPr>
          <w:u w:val="single"/>
        </w:rPr>
        <w:t xml:space="preserve">ENGINEER'S OR ARCHITECT'S STANDARD OF CARE.  A governmental entity may not require that engineering or architectural services be performed to a level of professional skill and care beyond the level that would be provided by an ordinarily prudent engineer or architect with the same professional license and under the same or similar circumstances in a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engineering or architectural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contains engineering or architectural services as a component part.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changes in law made by this Act do not apply to a contract that is entered into before the effective date of this Act. Such a contract is governed by the law in effect when the contract was entered into,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contract subject to Chapter 473, Transportation Code, as added by this Act, with a governmental entity that is entered into before the effective date of this Act, and any subcontract or purchase order for furnishing labor or materials associated with that contract, regardless of whether the subcontract or purchase order is entered into before, on, or after the effective date of this Act, is governed by the law in effect when the original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