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86R4919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(a) </w:t>
      </w:r>
      <w:r>
        <w:t xml:space="preserve"> </w:t>
      </w:r>
      <w:r>
        <w:t xml:space="preserve">This section applies only to a person </w:t>
      </w:r>
      <w:r>
        <w:rPr>
          <w:u w:val="single"/>
        </w:rPr>
        <w:t xml:space="preserve">who is convicted of or</w:t>
      </w:r>
      <w:r>
        <w:t xml:space="preserve">[</w:t>
      </w:r>
      <w:r>
        <w:rPr>
          <w:strike/>
        </w:rPr>
        <w:t xml:space="preserve">:</w:t>
      </w:r>
    </w:p>
    <w:p w:rsidR="003F3435" w:rsidRDefault="0032493E">
      <w:pPr>
        <w:spacing w:line="480" w:lineRule="auto"/>
        <w:ind w:firstLine="1440"/>
        <w:jc w:val="both"/>
      </w:pPr>
      <w:r>
        <w:t xml:space="preserve">[</w:t>
      </w:r>
      <w:r>
        <w:rPr>
          <w:strike/>
        </w:rPr>
        <w:t xml:space="preserve">(1) who is</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Section 481.120, Health and Safety Code, if the offense is punishable under Subsection (b)(1);</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Section 481.121, Health and Safety Code, if the offense is punishable under Subsection (b)(1);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30.05, Penal Code;</w:t>
      </w:r>
    </w:p>
    <w:p w:rsidR="003F3435" w:rsidRDefault="0032493E">
      <w:pPr>
        <w:spacing w:line="480" w:lineRule="auto"/>
        <w:ind w:firstLine="1440"/>
        <w:jc w:val="both"/>
      </w:pPr>
      <w:r>
        <w:rPr>
          <w:u w:val="single"/>
        </w:rPr>
        <w:t xml:space="preserve">(4)</w:t>
      </w:r>
      <w:r xml:space="preserve">
        <w:t> </w:t>
      </w:r>
      <w:r>
        <w:t xml:space="preserve">[</w:t>
      </w:r>
      <w:r>
        <w:rPr>
          <w:strike/>
        </w:rPr>
        <w:t xml:space="preserve">(C)</w:t>
      </w:r>
      <w:r>
        <w:t xml:space="preserve">]</w:t>
      </w:r>
      <w:r xml:space="preserve">
        <w:t> </w:t>
      </w:r>
      <w:r xml:space="preserve">
        <w:t> </w:t>
      </w:r>
      <w:r>
        <w:t xml:space="preserve">Section 31.03, Penal Code, if the offense is punishable under Subsection (e)(1) or (2);</w:t>
      </w:r>
    </w:p>
    <w:p w:rsidR="003F3435" w:rsidRDefault="0032493E">
      <w:pPr>
        <w:spacing w:line="480" w:lineRule="auto"/>
        <w:ind w:firstLine="1440"/>
        <w:jc w:val="both"/>
      </w:pPr>
      <w:r>
        <w:rPr>
          <w:u w:val="single"/>
        </w:rPr>
        <w:t xml:space="preserve">(5)</w:t>
      </w:r>
      <w:r xml:space="preserve">
        <w:t> </w:t>
      </w:r>
      <w:r>
        <w:t xml:space="preserve">[</w:t>
      </w:r>
      <w:r>
        <w:rPr>
          <w:strike/>
        </w:rPr>
        <w:t xml:space="preserve">(D)</w:t>
      </w:r>
      <w:r>
        <w:t xml:space="preserve">]</w:t>
      </w:r>
      <w:r xml:space="preserve">
        <w:t> </w:t>
      </w:r>
      <w:r xml:space="preserve">
        <w:t> </w:t>
      </w:r>
      <w:r>
        <w:t xml:space="preserve">Section 43.02, Penal Code; or</w:t>
      </w:r>
    </w:p>
    <w:p w:rsidR="003F3435" w:rsidRDefault="0032493E">
      <w:pPr>
        <w:spacing w:line="480" w:lineRule="auto"/>
        <w:ind w:firstLine="1440"/>
        <w:jc w:val="both"/>
      </w:pPr>
      <w:r>
        <w:rPr>
          <w:u w:val="single"/>
        </w:rPr>
        <w:t xml:space="preserve">(6)</w:t>
      </w:r>
      <w:r xml:space="preserve">
        <w:t> </w:t>
      </w:r>
      <w:r>
        <w:t xml:space="preserve">[</w:t>
      </w:r>
      <w:r>
        <w:rPr>
          <w:strike/>
        </w:rPr>
        <w:t xml:space="preserve">(E)</w:t>
      </w:r>
      <w:r>
        <w:t xml:space="preserve">]</w:t>
      </w:r>
      <w:r xml:space="preserve">
        <w:t> </w:t>
      </w:r>
      <w:r xml:space="preserve">
        <w:t> </w:t>
      </w:r>
      <w:r>
        <w:t xml:space="preserve">Section 43.03(a)(2), Penal Code, if the offense is punishable as a </w:t>
      </w:r>
      <w:r>
        <w:rPr>
          <w:u w:val="single"/>
        </w:rPr>
        <w:t xml:space="preserve">state jail felony or as any lower category of offense</w:t>
      </w:r>
      <w:r>
        <w:t xml:space="preserve"> [</w:t>
      </w:r>
      <w:r>
        <w:rPr>
          <w:strike/>
        </w:rPr>
        <w:t xml:space="preserve">Class A misdemeanor; and</w:t>
      </w:r>
    </w:p>
    <w:p w:rsidR="003F3435" w:rsidRDefault="0032493E">
      <w:pPr>
        <w:spacing w:line="480" w:lineRule="auto"/>
        <w:ind w:firstLine="1440"/>
        <w:jc w:val="both"/>
      </w:pPr>
      <w:r>
        <w:t xml:space="preserve">[</w:t>
      </w:r>
      <w:r>
        <w:rPr>
          <w:strike/>
        </w:rPr>
        <w:t xml:space="preserve">(2) 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411.074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trafficking of persons.</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assert that the person seeking an order of nondisclosure under this section has not previously received an order of nondisclosure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 solely as a victim of trafficking of persons</w:t>
      </w:r>
      <w:r>
        <w:t xml:space="preserve">.</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 determination by the court that the person has not previously received an order of nondisclosure under this section, and a determination by the court that the person committed the offense </w:t>
      </w:r>
      <w:r>
        <w:rPr>
          <w:u w:val="single"/>
        </w:rPr>
        <w:t xml:space="preserve">described by Subsection (a)</w:t>
      </w:r>
      <w:r>
        <w:t xml:space="preserve"> solely as a victim of trafficking of persons and that issuance of the order is in the best interest of justice, the court shall issue an order prohibiting criminal justice agencies from disclosing [</w:t>
      </w:r>
      <w:r>
        <w:rPr>
          <w:strike/>
        </w:rPr>
        <w:t xml:space="preserve">to the public</w:t>
      </w:r>
      <w:r>
        <w:t xml:space="preserve">] criminal history record information related to the offense </w:t>
      </w:r>
      <w:r>
        <w:rPr>
          <w:u w:val="single"/>
        </w:rPr>
        <w:t xml:space="preserve">except as provided by Section 411.0765(a)</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t xml:space="preserve">(d)</w:t>
      </w:r>
      <w:r xml:space="preserve">
        <w:t> </w:t>
      </w:r>
      <w:r xml:space="preserve">
        <w:t> </w:t>
      </w:r>
      <w:r>
        <w:t xml:space="preserve">A person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only </w:t>
      </w:r>
      <w:r>
        <w:rPr>
          <w:u w:val="single"/>
        </w:rPr>
        <w:t xml:space="preserve">on or</w:t>
      </w:r>
      <w:r>
        <w:t xml:space="preserve"> after the </w:t>
      </w:r>
      <w:r>
        <w:rPr>
          <w:u w:val="single"/>
        </w:rPr>
        <w:t xml:space="preserve">90th day after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411.0765,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section, a criminal justice agency may not disclose criminal history record information that is the subject of an order of nondisclosure of criminal history record information under Section 411.0728 for regulatory licensing purposes or to an agency or entity listed in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