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86R10495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Lang</w:t>
      </w:r>
      <w:r xml:space="preserve">
        <w:tab wTab="150" tlc="none" cTlc="0"/>
      </w:r>
      <w:r>
        <w:t xml:space="preserve">H.B.</w:t>
      </w:r>
      <w:r xml:space="preserve">
        <w:t> </w:t>
      </w:r>
      <w:r>
        <w:t xml:space="preserve">No.</w:t>
      </w:r>
      <w:r xml:space="preserve">
        <w:t> </w:t>
      </w:r>
      <w:r>
        <w:t xml:space="preserve">2911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w:t>
      </w:r>
      <w:r>
        <w:t xml:space="preserve">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month, day, and</w:t>
      </w:r>
      <w:r>
        <w:t xml:space="preserv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w:t>
      </w:r>
      <w:r xml:space="preserve">
        <w:t> </w:t>
      </w:r>
      <w:r xml:space="preserve">
        <w:t> </w:t>
      </w:r>
      <w:r>
        <w:t xml:space="preserve">"If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 discovering a data entry error has been made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t xml:space="preserve">[</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 a completed application to register to vote in accordance with Section 13.002</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 later than the 30th day after the date a confirmation notice is mailed, the</w:t>
      </w:r>
      <w:r>
        <w:t xml:space="preserve">] voter shall submit to the registrar a written, signed response to the notice that confirms the voter's current residence.</w:t>
      </w:r>
      <w:r xml:space="preserve">
        <w:t> </w:t>
      </w:r>
      <w:r xml:space="preserve">
        <w:t> </w:t>
      </w:r>
      <w:r>
        <w:t xml:space="preserve">The response must contain all of the information that a person must include in an application to register to vote under Section 13.002.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16.0921(a)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(b)</w:t>
      </w:r>
      <w:r xml:space="preserve">
        <w:t> </w:t>
      </w:r>
      <w:r xml:space="preserve">
        <w:t> </w:t>
      </w:r>
      <w:r>
        <w:t xml:space="preserve">If the voter </w:t>
      </w:r>
      <w:r>
        <w:rPr>
          <w:u w:val="single"/>
        </w:rPr>
        <w:t xml:space="preserve">is delivered a confirmation notice</w:t>
      </w:r>
      <w:r>
        <w:t xml:space="preserve"> [</w:t>
      </w:r>
      <w:r>
        <w:rPr>
          <w:strike/>
        </w:rPr>
        <w:t xml:space="preserve">fails to submit a response to the registrar in accordance with Section 15.053</w:t>
      </w:r>
      <w:r>
        <w:t xml:space="preserve">], the registrar shall enter the voter's name on the suspense list.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w:t>
      </w:r>
      <w:r xml:space="preserve">
        <w:t> </w:t>
      </w:r>
      <w:r xml:space="preserve">
        <w:t> </w:t>
      </w:r>
      <w:r>
        <w:t xml:space="preserve">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w:t>
      </w:r>
      <w:r xml:space="preserve">
        <w:t> </w:t>
      </w:r>
      <w:r xml:space="preserve">
        <w:t> </w:t>
      </w:r>
      <w:r>
        <w:t xml:space="preserve">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w:t>
      </w:r>
      <w:r>
        <w:rPr>
          <w:u w:val="single"/>
        </w:rPr>
        <w:t xml:space="preserve">the</w:t>
      </w:r>
      <w:r>
        <w:t xml:space="preserve"> [</w:t>
      </w:r>
      <w:r>
        <w:rPr>
          <w:strike/>
        </w:rPr>
        <w:t xml:space="preserve">each</w:t>
      </w:r>
      <w:r>
        <w:t xml:space="preserve">] county </w:t>
      </w:r>
      <w:r>
        <w:rPr>
          <w:u w:val="single"/>
        </w:rPr>
        <w:t xml:space="preserve">with the oldest registration record</w:t>
      </w:r>
      <w:r>
        <w:t xml:space="preserve"> in which the voter is registered to vote.</w:t>
      </w:r>
      <w:r xml:space="preserve">
        <w:t> </w:t>
      </w:r>
      <w:r xml:space="preserve">
        <w:t> </w:t>
      </w:r>
      <w:r>
        <w:t xml:space="preserve">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15.051 </w:t>
      </w:r>
      <w:r>
        <w:rPr>
          <w:u w:val="single"/>
        </w:rPr>
        <w:t xml:space="preserve">or cancel the registration of the voter in accordance with Section 16.031(a)(1), provided that the voter's record in the county with the newest registration record is not on the suspense list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 and</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