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necessity of hearings regarding the dissolution or conversion of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49, Water Code, is amended by adding Section 49.3225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49.3225.</w:t>
      </w:r>
      <w:r>
        <w:rPr>
          <w:u w:val="single"/>
        </w:rPr>
        <w:t xml:space="preserve"> </w:t>
      </w:r>
      <w:r>
        <w:rPr>
          <w:u w:val="single"/>
        </w:rPr>
        <w:t xml:space="preserve"> </w:t>
      </w:r>
      <w:r>
        <w:rPr>
          <w:u w:val="single"/>
        </w:rPr>
        <w:t xml:space="preserve">ORDER WITHOUT HEARING.  (a)  The commission may adopt an order under Section 49.324 without conducting a hearing if it receives a petition under this section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of the majority in value of the land in the district, as shown by the most recent certified tax roll of the central appraisal district of the county or counties in which the district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directors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after the date a petition is submitted under Subsection (a), the petitioners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petition by certified mail: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all the landowners in the district, as shown by the most recent certified tax roll of the central appraisal district of the county or counties in which the district is located, who did not sign the petition;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petition was submitted by persons described by Subsection (a)(1), to the board of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writing to the commission that the requirements of Subdivision (1) have been met.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provided under Subsection (b)(1) must state that the landowner may file a written objection to the dissolution of the district not later than the 30th day after the date the notice was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landowner files a written objection to the dissolution of the district with the commission within the period specified in the notice, the commission shall hold a hearing on the dissolution of the district.  The commission shall mail notice of the hearing by first class mail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petitioners, and the board of directors if the board of directors did not submit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landowner who timely filed a written objection to the dissolution.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may not be dissolved under this section or any other provision of law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unless the bonded indebtedness is assumed by a third party, or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unless the obligation is assumed by a third party, fully paid in accordance with the contract, or waived by the obligee;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ownership, operation, or maintenance is assumed by a third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54.030(b), Water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 adopt and enter in the minutes of the governing body a resolution declaring that in its judgment, conversion into a municipal utility district operating under this chapter and under Article XVI, Section 59, of the Texas Constitution, would serve the best interest of the district and would be a benefit to the land and property included in the district.  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54.032, Water Code, is amended to read as follows:</w:t>
      </w:r>
    </w:p>
    <w:p w:rsidR="003F3435" w:rsidRDefault="0032493E">
      <w:pPr>
        <w:spacing w:line="480" w:lineRule="auto"/>
        <w:ind w:firstLine="720"/>
        <w:jc w:val="both"/>
      </w:pPr>
      <w:r>
        <w:t xml:space="preserve">Sec.</w:t>
      </w:r>
      <w:r xml:space="preserve">
        <w:t> </w:t>
      </w:r>
      <w:r>
        <w:t xml:space="preserve">54.032.</w:t>
      </w:r>
      <w:r xml:space="preserve">
        <w:t> </w:t>
      </w:r>
      <w:r xml:space="preserve">
        <w:t> </w:t>
      </w:r>
      <w:r>
        <w:t xml:space="preserve">CONVERSION OF DISTRICT:  NOTICE. </w:t>
      </w:r>
      <w:r>
        <w:t xml:space="preserve"> </w:t>
      </w:r>
      <w:r>
        <w:t xml:space="preserve">(a) </w:t>
      </w:r>
      <w:r>
        <w:t xml:space="preserve"> </w:t>
      </w:r>
      <w:r>
        <w:t xml:space="preserve">Notice of the conversion [</w:t>
      </w:r>
      <w:r>
        <w:rPr>
          <w:strike/>
        </w:rPr>
        <w:t xml:space="preserve">hearing</w:t>
      </w:r>
      <w:r>
        <w:t xml:space="preserve">] shall be given by publishing notice in a newspaper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w:t>
      </w:r>
      <w:r>
        <w:rPr>
          <w:strike/>
        </w:rPr>
        <w:t xml:space="preserve">with the first publication to be made not less than 14 full days before the time set for the hearing</w:t>
      </w:r>
      <w:r>
        <w:t xml:space="preserve">].</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state the time and place of the hearing;</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set out the resolution adopted by the district in full;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notify all interested persons </w:t>
      </w:r>
      <w:r>
        <w:rPr>
          <w:u w:val="single"/>
        </w:rPr>
        <w:t xml:space="preserve">how they may offer comments</w:t>
      </w:r>
      <w:r>
        <w:t xml:space="preserve"> [</w:t>
      </w:r>
      <w:r>
        <w:rPr>
          <w:strike/>
        </w:rPr>
        <w:t xml:space="preserve">to appear and offer testimony</w:t>
      </w:r>
      <w:r>
        <w:t xml:space="preserve">] for or against the proposal contained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After a hearing, if</w:t>
      </w:r>
      <w:r>
        <w:t xml:space="preserve">] the commission finds that conversion of the district into one operating under this chapter would serve the best interest of the district and would be a benefit to the land and property included in the district, it shall enter an order making this finding and the district shall become a district operating under this chapter and no confirmation election shall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54.031,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2914 was passed by the House on April 25, 2019, by the following vote:</w:t>
      </w:r>
      <w:r xml:space="preserve">
        <w:t> </w:t>
      </w:r>
      <w:r xml:space="preserve">
        <w:t> </w:t>
      </w:r>
      <w:r>
        <w:t xml:space="preserve">Yeas 136,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2914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