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86R8225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state aid to certain local governments disproportionately affected by the granting of ad valorem tax relief to disabled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140.011(a)(1) and (2), Local Government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"General fund revenue" means revenue generated by a local government from </w:t>
      </w:r>
      <w:r>
        <w:rPr>
          <w:u w:val="single"/>
        </w:rPr>
        <w:t xml:space="preserve">any source</w:t>
      </w:r>
      <w:r>
        <w:t xml:space="preserve"> [</w:t>
      </w:r>
      <w:r>
        <w:rPr>
          <w:strike/>
        </w:rPr>
        <w:t xml:space="preserve">the following sources</w:t>
      </w:r>
      <w:r>
        <w:t xml:space="preserve">] during a fiscal year and deposited in the dedicated general operating fund of the local government during that fiscal year</w:t>
      </w:r>
      <w:r>
        <w:rPr>
          <w:u w:val="single"/>
        </w:rPr>
        <w:t xml:space="preserve">, including, if applicable</w:t>
      </w:r>
      <w: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ad valorem taxes;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sales and use taxes;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franchise taxes, fees, or assessments charged for use of the local government's right-of-way;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building and development fees, including permit and inspection fees;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court fines and fees;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other fees, assessments, and charges;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interest earned by the local government.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"Local government"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municipality adjacent to a United States military installation;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in which a United States military installation is wholly or partly located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junior college district located wholly or partly in a municipality described by Paragraph 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eligibility of a qualified local government to apply for a disabled veteran assistance payment beginning with the fiscal year of the local government that ends in the 2019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