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86R27021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hospital liens.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55, Property Code, is amended by adding Section 55.0015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ADMISSION TO HOSPITAL.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chapter, an injured individual is considered admitted to a hospital if the individual is allowed access to any department of the hospital for the provision of any treatment, care, or service to the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55.004(b) and (d), Property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hospital lien described by Section 55.002(a) is for the </w:t>
      </w:r>
      <w:r>
        <w:rPr>
          <w:u w:val="single"/>
        </w:rPr>
        <w:t xml:space="preserve">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amount of the hospital's charges for services provided to the injured individual during the first 100 days of the injured individual's hospitalization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all amounts recovered by the injured individual through a cause of action, judgment, or settlement described by Section 55.003(a)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hospital lien described by Section 55.002(a) does not cover: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charges for other services that exceed a reasonable and regular rate for the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for which the physician has accepted insurance benefits or payment under a private medical indemnity plan or program, regardless of whether the benefits or payment equals the full amount of the physician's charges for those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charges by the physician for services provided under Subsection (c) if the injured individual has coverage under a private medical indemnity plan or program from which the physician is entitled to recover payment for the physician's services under an assignment of benefits or similar rights;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if the physician is a member of the legislature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charges for which recovery is barred under Section 146.003,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addition by this Act of Section 55.0015, Property Code, is intended to clarify rather than change the existing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