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2929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hospital liens.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55, Property Code, is amended by adding Section 55.0015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55.0015.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ADMISSION TO HOSPITAL. </w:t>
      </w:r>
      <w:r>
        <w:rPr>
          <w:u w:val="single"/>
        </w:rPr>
        <w:t xml:space="preserve"> </w:t>
      </w:r>
      <w:r>
        <w:rPr>
          <w:u w:val="single"/>
        </w:rPr>
        <w:t xml:space="preserve">For purposes of this chapter, an injured individual is considered admitted to a hospital if the individual is allowed access to any department of the hospital for the provision of any treatment, care, or service to the individual.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55.004(b) and (d), Property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hospital lien described by Section 55.002(a) is for the </w:t>
      </w:r>
      <w:r>
        <w:rPr>
          <w:u w:val="single"/>
        </w:rPr>
        <w:t xml:space="preserve">lesser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</w:t>
      </w:r>
      <w:r>
        <w:t xml:space="preserve"> amount of the hospital's charges for services provided to the injured individual during the first 100 days of the injured individual's hospitalization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50 percent of all amounts recovered by the injured individual through a cause of action, judgment, or settlement described by Section 55.003(a)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hospital lien described by Section 55.002(a) does not cover: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charges for other services that exceed a reasonable and regular rate for the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charges by the physician related to any services provided under Subsection (c) for which the physician has accepted insurance benefits or payment under a private medical indemnity plan or program, regardless of whether the benefits or payment equals the full amount of the physician's charges for those services;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charges by the physician for services provided under Subsection (c) if the injured individual has coverage under a private medical indemnity plan or program from which the physician is entitled to recover payment for the physician's services under an assignment of benefits or similar rights;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charges by the physician related to any services provided under Subsection (c) if the physician is a member of the legislature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charges for which recovery is barred under Section 146.003, Civil Practice and Remedies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addition by this Act of Section 55.0015, Property Code, is intended to clarify rather than change the existing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2929 was passed by the House on May 9, 2019, by the following vote:</w:t>
      </w:r>
      <w:r xml:space="preserve">
        <w:t> </w:t>
      </w:r>
      <w:r xml:space="preserve">
        <w:t> </w:t>
      </w:r>
      <w:r>
        <w:t xml:space="preserve">Yeas 118, Nays 21,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2929 was passed by the Senate on May 22, 2019, by the following vote:</w:t>
      </w:r>
      <w:r xml:space="preserve">
        <w:t> </w:t>
      </w:r>
      <w:r xml:space="preserve">
        <w:t> </w:t>
      </w:r>
      <w:r>
        <w:t xml:space="preserve">Yeas 30, Nays 0, 1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