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86R27021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hospital liens.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55, Property Code, is amended by adding Section 55.0015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ADMISSION TO HOSPITAL.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chapter, an injured individual is considered admitted to a hospital if the individual is allowed access to any department of the hospital for the provision of any treatment, care, or service to the individual.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55.004(b) and (d), Property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hospital lien described by Section 55.002(a) is for the </w:t>
      </w:r>
      <w:r>
        <w:rPr>
          <w:u w:val="single"/>
        </w:rPr>
        <w:t xml:space="preserve">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amount of the hospital's charges for services provided to the injured individual during the first 100 days of the injured individual's hospitalization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50 percent of all amounts recovered by the injured individual through a cause of action, judgment, or settlement described by Section 55.003(a)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hospital lien described by Section 55.002(a) does not cover: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charges for other services that exceed a reasonable and regular rate for the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charges by the physician related to any services provided under Subsection (c) for which the physician has accepted insurance benefits or payment under a private medical indemnity plan or program, regardless of whether the benefits or payment equals the full amount of the physician's charges for those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charges by the physician for services provided under Subsection (c) if the injured individual has coverage under a private medical indemnity plan or program from which the physician is entitled to recover payment for the physician's services under an assignment of benefits or similar rights;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charges by the physician related to any services provided under Subsection (c) if the physician is a member of the legislature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charges for which recovery is barred under Section 146.003, Civil Practice and Remedies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addition by this Act of Section 55.0015, Property Code, is intended to clarify rather than change the existing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