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Hancock)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9,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hospital liens.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55, Property Code, is amended by adding Section 55.0015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ADMISSION TO HOSPITAL.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chapter, an injured individual is considered admitted to a hospital if the individual is allowed access to any department of the hospital for the provision of any treatment, care, or service to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55.004(b) and (d), Property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lien described by Section 55.002(a) is for the </w:t>
      </w:r>
      <w:r>
        <w:rPr>
          <w:u w:val="single"/>
        </w:rPr>
        <w:t xml:space="preserve">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of the hospital's charges for services provided to the injured individual during the first 100 days of the injured individual's hospitalization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all amounts recovered by the injured individual through a cause of action, judgment, or settlement described by Section 55.003(a)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hospital lien described by Section 55.002(a) does not 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charges for other services that exceed a reasonable and regular rate for the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for which the physician has accepted insurance benefits or payment under a private medical indemnity plan or program, regardless of whether the benefits or payment equals the full amount of the physician's charges for those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charges by the physician for services provided under Subsection (c) if the injured individual has coverage under a private medical indemnity plan or program from which the physician is entitled to recover payment for the physician's services under an assignment of benefits or similar rights;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if the physician is a member of the legislature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which recovery is barred under Section 146.003,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addition by this Act of Section 55.0015, Property Code, is intended to clarify rather than change the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