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86R10661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2931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driver's license by an entity other than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521.165, Transportation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director may certify and set standards for the certification of certain employers, government agencies, and other appropriate organizations to allow those persons to train and test for the ability to operate </w:t>
      </w:r>
      <w:r>
        <w:rPr>
          <w:u w:val="single"/>
        </w:rPr>
        <w:t xml:space="preserve">the</w:t>
      </w:r>
      <w:r>
        <w:t xml:space="preserve"> [</w:t>
      </w:r>
      <w:r>
        <w:rPr>
          <w:strike/>
        </w:rPr>
        <w:t xml:space="preserve">certain</w:t>
      </w:r>
      <w:r>
        <w:t xml:space="preserve">] types of vehicles </w:t>
      </w:r>
      <w:r>
        <w:rPr>
          <w:u w:val="single"/>
        </w:rPr>
        <w:t xml:space="preserve">a holder of a Class C driver's license is authorized to operate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described by Subsection (a) may not issue a driver's license under Section 521.181 to a person who has not completed and passed the training and testing conducted by the entity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521.181, Transportation Code, is amended to read as follows:</w:t>
      </w:r>
    </w:p>
    <w:p w:rsidR="003F3435" w:rsidRDefault="0032493E">
      <w:pPr>
        <w:spacing w:line="480" w:lineRule="auto"/>
        <w:ind w:firstLine="720"/>
        <w:jc w:val="both"/>
      </w:pPr>
      <w:r>
        <w:t xml:space="preserve">Sec.</w:t>
      </w:r>
      <w:r xml:space="preserve">
        <w:t> </w:t>
      </w:r>
      <w:r>
        <w:t xml:space="preserve">521.181.</w:t>
      </w:r>
      <w:r xml:space="preserve">
        <w:t> </w:t>
      </w:r>
      <w:r xml:space="preserve">
        <w:t> </w:t>
      </w:r>
      <w:r>
        <w:t xml:space="preserve">ISSUANCE OF DRIVER'S LICENSE. </w:t>
      </w:r>
      <w:r>
        <w:rPr>
          <w:u w:val="single"/>
        </w:rPr>
        <w:t xml:space="preserve">(a)</w:t>
      </w:r>
      <w:r>
        <w:t xml:space="preserve"> On payment of the required fee, the department shall issue to each qualifying applicant a driver's license of the class for which the applicant has applied.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authorize an entity described by Section 521.165 to issue a driver's license to a qualifying applicant if the qualifying applicant holds a learner license issued by the department under Section 521.222. The department shall adopt rules to implement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