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86R12000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commissioners court of a county to employ attorneys as mental health public defenders and to the reimbursement of an attorney who represents an indigent proposed patient in certain mental health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571, Health and Safety Code, is amended by adding Sections 571.0168 and 571.0169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571.0168.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MENTAL HEALTH PUBLIC DEFENDERS.  The commissioners court of a county may employ attorneys as mental health public defenders to provide proposed patients with legal representation in a proceeding under Chapter 574.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571.0169.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REPRESENTATION OF PROPOSED PATIENT.  The court may appoint a mental health public defender described by Section 571.0168, a public defender other than a mental health public defender, or a private attorney to represent a proposed patient in any proceeding under Chapter 574.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574.010(b),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court determines that the proposed patient is indigent, the court may authorize reimbursement to the attorney </w:t>
      </w:r>
      <w:r>
        <w:rPr>
          <w:u w:val="single"/>
        </w:rPr>
        <w:t xml:space="preserve">representing the proposed patient</w:t>
      </w:r>
      <w:r>
        <w:t xml:space="preserve"> [</w:t>
      </w:r>
      <w:r>
        <w:rPr>
          <w:strike/>
        </w:rPr>
        <w:t xml:space="preserve">ad litem</w:t>
      </w:r>
      <w:r>
        <w:t xml:space="preserve">] for court-approved expenses incurred in obtaining expert testimony and may order the proposed patient's county of residence to pay the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