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86R19960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Pacheco</w:t>
      </w:r>
      <w:r xml:space="preserve">
        <w:tab wTab="150" tlc="none" cTlc="0"/>
      </w:r>
      <w:r>
        <w:t xml:space="preserve">H.B.</w:t>
      </w:r>
      <w:r xml:space="preserve">
        <w:t> </w:t>
      </w:r>
      <w:r>
        <w:t xml:space="preserve">No.</w:t>
      </w:r>
      <w:r xml:space="preserve">
        <w:t> </w:t>
      </w:r>
      <w:r>
        <w:t xml:space="preserve">2942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to continue to be appraised for ad valorem tax purposes as qualified open-space land if the land is temporarily used for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FOR SAND MINING OPERATION.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"Marketable material" means sand mined and processed for sale.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"Sand mining operation" means an aggregate production operation registered under Chapter 28A, Water Code, at which sand is removed or extracted.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"Unmarketable material" means material excavated or mined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sand mining operation that overlies the Carrizo Aquifer and is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according to the standard best practices adopted under this section not later than the first anniversary of the date sand mining operations began on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(d) are met.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adopt standard best practices for reclamation of land used for a sand mining operation to be used for the purposes of this section.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land to be stockpiled on the land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land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 best practices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w:t>
      </w:r>
      <w:r>
        <w:rPr>
          <w:u w:val="single"/>
        </w:rPr>
        <w:t xml:space="preserve"> </w:t>
      </w:r>
      <w:r>
        <w:rPr>
          <w:u w:val="single"/>
        </w:rPr>
        <w:t xml:space="preserve">The owner must apply to the executive director for the determination not later than the 90th day after the first anniversary of the date sand mining operations began on the land.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notice by regular mail or by electronic means to the chief appraiser of the appraisal district for the county in which the land is located that the owner has applied for a determination letter for the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letter to the owner stating the executive director's determination of whether the land has been reclaimed according to the standard best practices adopted under this section in the time frame required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determination letter by regular mail or by electronic means to the chief appraiser of the appraisal district for the county in which the land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charge an owner seeking a determination letter under this section a fee not to exceed its administrative costs for making the determination and issuing the letter required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chief appraiser shall accept a final determination by the executive director as conclusive evidence that land was reclaimed according to the standard best practices adopted under this section in the time frame required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23.526(e),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23.526(e),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