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2943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 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 </w:t>
      </w:r>
      <w:r>
        <w:rPr>
          <w:u w:val="single"/>
        </w:rPr>
        <w:t xml:space="preserve">and</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w:t>
      </w:r>
      <w:r>
        <w:rPr>
          <w:strike/>
        </w:rPr>
        <w:t xml:space="preserve">and</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the level of community support for the application, evaluated on the basis of a written statement from the state representative who represents the district containing the proposed development site;</w:t>
      </w:r>
      <w:r>
        <w:t xml:space="preserv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2306.6718(b),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the elected officials with an opportunity to comment on the application during the application evaluation process [</w:t>
      </w:r>
      <w:r>
        <w:rPr>
          <w:strike/>
        </w:rPr>
        <w:t xml:space="preserve">provided by Section 2306.6710</w:t>
      </w:r>
      <w:r>
        <w:t xml:space="preserve">] and shall consider those comments in evaluating applications [</w:t>
      </w:r>
      <w:r>
        <w:rPr>
          <w:strike/>
        </w:rPr>
        <w:t xml:space="preserve">under that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2306.6710(f),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