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H.B.</w:t>
      </w:r>
      <w:r xml:space="preserve">
        <w:t> </w:t>
      </w:r>
      <w:r>
        <w:t xml:space="preserve">No.</w:t>
      </w:r>
      <w:r xml:space="preserve">
        <w:t> </w:t>
      </w:r>
      <w:r>
        <w:t xml:space="preserve">2947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eligible participants in the Texas Achieving a Better Life Experience (ABLE)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54.910(b), Education Code, is amended to read as follows:</w:t>
      </w:r>
    </w:p>
    <w:p w:rsidR="003F3435" w:rsidRDefault="0032493E">
      <w:pPr>
        <w:spacing w:line="480" w:lineRule="auto"/>
        <w:ind w:firstLine="720"/>
        <w:jc w:val="both"/>
      </w:pPr>
      <w:r>
        <w:t xml:space="preserve">(b)</w:t>
      </w:r>
      <w:r xml:space="preserve">
        <w:t> </w:t>
      </w:r>
      <w:r xml:space="preserve">
        <w:t> </w:t>
      </w:r>
      <w:r>
        <w:t xml:space="preserve">If the designated beneficiary </w:t>
      </w:r>
      <w:r>
        <w:rPr>
          <w:u w:val="single"/>
        </w:rPr>
        <w:t xml:space="preserve">is not able to exercise signature authority over an account or chooses to establish an account but not exercise signature authority</w:t>
      </w:r>
      <w:r>
        <w:t xml:space="preserve"> [</w:t>
      </w:r>
      <w:r>
        <w:rPr>
          <w:strike/>
        </w:rPr>
        <w:t xml:space="preserve">of the account is</w:t>
      </w:r>
      <w:r>
        <w:rPr>
          <w:strike/>
        </w:rPr>
        <w:t xml:space="preserve"> </w:t>
      </w:r>
      <w:r>
        <w:rPr>
          <w:strike/>
        </w:rPr>
        <w:t xml:space="preserve">a minor or has a custodian or other fiduciary</w:t>
      </w:r>
      <w:r>
        <w:rPr>
          <w:strike/>
        </w:rPr>
        <w:t xml:space="preserve"> </w:t>
      </w:r>
      <w:r>
        <w:rPr>
          <w:strike/>
        </w:rPr>
        <w:t xml:space="preserve">appointed for the purpose of</w:t>
      </w:r>
      <w:r>
        <w:rPr>
          <w:strike/>
        </w:rPr>
        <w:t xml:space="preserve"> </w:t>
      </w:r>
      <w:r>
        <w:rPr>
          <w:strike/>
        </w:rPr>
        <w:t xml:space="preserve">managing the</w:t>
      </w:r>
      <w:r>
        <w:rPr>
          <w:strike/>
        </w:rPr>
        <w:t xml:space="preserve"> </w:t>
      </w:r>
      <w:r>
        <w:rPr>
          <w:strike/>
        </w:rPr>
        <w:t xml:space="preserve">minor's financial affairs</w:t>
      </w:r>
      <w:r>
        <w:t xml:space="preserve">], the parent</w:t>
      </w:r>
      <w:r>
        <w:rPr>
          <w:u w:val="single"/>
        </w:rPr>
        <w:t xml:space="preserve">, l</w:t>
      </w:r>
      <w:r>
        <w:rPr>
          <w:u w:val="single"/>
        </w:rPr>
        <w:t xml:space="preserve">egal guardian,</w:t>
      </w:r>
      <w:r>
        <w:t xml:space="preserve"> [</w:t>
      </w:r>
      <w:r>
        <w:rPr>
          <w:strike/>
        </w:rPr>
        <w:t xml:space="preserve">or custodian</w:t>
      </w:r>
      <w:r>
        <w:t xml:space="preserve">] or other fiduciary of the beneficiary may serve as the participant if [</w:t>
      </w:r>
      <w:r>
        <w:rPr>
          <w:strike/>
        </w:rPr>
        <w:t xml:space="preserve">that form of</w:t>
      </w:r>
      <w:r>
        <w:rPr>
          <w:strike/>
        </w:rPr>
        <w:t xml:space="preserve"> </w:t>
      </w:r>
      <w:r>
        <w:rPr>
          <w:strike/>
        </w:rPr>
        <w:t xml:space="preserve">ownership is</w:t>
      </w:r>
      <w:r>
        <w:t xml:space="preserve">] permitted [</w:t>
      </w:r>
      <w:r>
        <w:rPr>
          <w:strike/>
        </w:rPr>
        <w:t xml:space="preserve">or not prohibited</w:t>
      </w:r>
      <w:r>
        <w:t xml:space="preserve">] by Section 529A, Internal Revenue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