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86R12965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2951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admissibility of certain hearsay statements in the prosecution of certain sexual or assaultive offenses committed against a child or person with a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2(a), Article 38.072, Code of Criminal Procedure, as amended by Chapters 284 (S.B. 643) and 710 (H.B. 2846), Acts of the 81st Legislature, Regular Session, 2009,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only to statements that:</w:t>
      </w:r>
    </w:p>
    <w:p w:rsidR="003F3435" w:rsidRDefault="0032493E">
      <w:pPr>
        <w:spacing w:line="480" w:lineRule="auto"/>
        <w:ind w:firstLine="1440"/>
        <w:jc w:val="both"/>
      </w:pPr>
      <w:r>
        <w:t xml:space="preserve">(1)</w:t>
      </w:r>
      <w:r xml:space="preserve">
        <w:t> </w:t>
      </w:r>
      <w:r xml:space="preserve">
        <w:t> </w:t>
      </w:r>
      <w:r>
        <w:t xml:space="preserve">describe:</w:t>
      </w:r>
    </w:p>
    <w:p w:rsidR="003F3435" w:rsidRDefault="0032493E">
      <w:pPr>
        <w:spacing w:line="480" w:lineRule="auto"/>
        <w:ind w:firstLine="2160"/>
        <w:jc w:val="both"/>
      </w:pPr>
      <w:r>
        <w:t xml:space="preserve">(A)</w:t>
      </w:r>
      <w:r xml:space="preserve">
        <w:t> </w:t>
      </w:r>
      <w:r xml:space="preserve">
        <w:t> </w:t>
      </w:r>
      <w:r>
        <w:t xml:space="preserve">the alleged offense; or</w:t>
      </w:r>
    </w:p>
    <w:p w:rsidR="003F3435" w:rsidRDefault="0032493E">
      <w:pPr>
        <w:spacing w:line="480" w:lineRule="auto"/>
        <w:ind w:firstLine="2160"/>
        <w:jc w:val="both"/>
      </w:pPr>
      <w:r>
        <w:t xml:space="preserve">(B)</w:t>
      </w:r>
      <w:r xml:space="preserve">
        <w:t> </w:t>
      </w:r>
      <w:r xml:space="preserve">
        <w:t> </w:t>
      </w:r>
      <w:r>
        <w:t xml:space="preserve">if the statement is offered during the punishment phase of the proceeding, a crime, wrong, or act other than the alleged offense that is:</w:t>
      </w:r>
    </w:p>
    <w:p w:rsidR="003F3435" w:rsidRDefault="0032493E">
      <w:pPr>
        <w:spacing w:line="480" w:lineRule="auto"/>
        <w:ind w:firstLine="2880"/>
        <w:jc w:val="both"/>
      </w:pPr>
      <w:r>
        <w:t xml:space="preserve">(i)</w:t>
      </w:r>
      <w:r xml:space="preserve">
        <w:t> </w:t>
      </w:r>
      <w:r xml:space="preserve">
        <w:t> </w:t>
      </w:r>
      <w:r>
        <w:t xml:space="preserve">described by Section 1;</w:t>
      </w:r>
    </w:p>
    <w:p w:rsidR="003F3435" w:rsidRDefault="0032493E">
      <w:pPr>
        <w:spacing w:line="480" w:lineRule="auto"/>
        <w:ind w:firstLine="2880"/>
        <w:jc w:val="both"/>
      </w:pPr>
      <w:r>
        <w:t xml:space="preserve">(ii)</w:t>
      </w:r>
      <w:r xml:space="preserve">
        <w:t> </w:t>
      </w:r>
      <w:r xml:space="preserve">
        <w:t> </w:t>
      </w:r>
      <w:r>
        <w:t xml:space="preserve">allegedly committed by the defendant against the child </w:t>
      </w:r>
      <w:r>
        <w:rPr>
          <w:u w:val="single"/>
        </w:rPr>
        <w:t xml:space="preserve">or person with a disability</w:t>
      </w:r>
      <w:r>
        <w:t xml:space="preserve"> who is the victim of the offense or </w:t>
      </w:r>
      <w:r>
        <w:rPr>
          <w:u w:val="single"/>
        </w:rPr>
        <w:t xml:space="preserve">against</w:t>
      </w:r>
      <w:r>
        <w:t xml:space="preserve"> another </w:t>
      </w:r>
      <w:r>
        <w:rPr>
          <w:u w:val="single"/>
        </w:rPr>
        <w:t xml:space="preserve">person who is a</w:t>
      </w:r>
      <w:r>
        <w:t xml:space="preserve"> child younger than 14 years of age </w:t>
      </w:r>
      <w:r>
        <w:rPr>
          <w:u w:val="single"/>
        </w:rPr>
        <w:t xml:space="preserve">or a person with a disability</w:t>
      </w:r>
      <w:r>
        <w:t xml:space="preserve">; and</w:t>
      </w:r>
    </w:p>
    <w:p w:rsidR="003F3435" w:rsidRDefault="0032493E">
      <w:pPr>
        <w:spacing w:line="480" w:lineRule="auto"/>
        <w:ind w:firstLine="2880"/>
        <w:jc w:val="both"/>
      </w:pPr>
      <w:r>
        <w:t xml:space="preserve">(iii)</w:t>
      </w:r>
      <w:r xml:space="preserve">
        <w:t> </w:t>
      </w:r>
      <w:r xml:space="preserve">
        <w:t> </w:t>
      </w:r>
      <w:r>
        <w:t xml:space="preserve">otherwise admissible as evidence under Article 38.37, Rule 404 or 405, Texas Rules of Evidence, or another law or rule of evidence of this state;</w:t>
      </w:r>
    </w:p>
    <w:p w:rsidR="003F3435" w:rsidRDefault="0032493E">
      <w:pPr>
        <w:spacing w:line="480" w:lineRule="auto"/>
        <w:ind w:firstLine="1440"/>
        <w:jc w:val="both"/>
      </w:pPr>
      <w:r>
        <w:t xml:space="preserve">(2)</w:t>
      </w:r>
      <w:r xml:space="preserve">
        <w:t> </w:t>
      </w:r>
      <w:r xml:space="preserve">
        <w:t> </w:t>
      </w:r>
      <w:r>
        <w:t xml:space="preserve">were made by the child </w:t>
      </w:r>
      <w:r>
        <w:rPr>
          <w:u w:val="single"/>
        </w:rPr>
        <w:t xml:space="preserve">or person with a disability</w:t>
      </w:r>
      <w:r>
        <w:t xml:space="preserve"> against whom the charged offense or extraneous crime, wrong, or act was allegedly committed; and</w:t>
      </w:r>
    </w:p>
    <w:p w:rsidR="003F3435" w:rsidRDefault="0032493E">
      <w:pPr>
        <w:spacing w:line="480" w:lineRule="auto"/>
        <w:ind w:firstLine="1440"/>
        <w:jc w:val="both"/>
      </w:pPr>
      <w:r>
        <w:t xml:space="preserve">(3)</w:t>
      </w:r>
      <w:r xml:space="preserve">
        <w:t> </w:t>
      </w:r>
      <w:r xml:space="preserve">
        <w:t> </w:t>
      </w:r>
      <w:r>
        <w:t xml:space="preserve">were made to the first person, 18 years of age or older, other than the defendant, to whom the child </w:t>
      </w:r>
      <w:r>
        <w:rPr>
          <w:u w:val="single"/>
        </w:rPr>
        <w:t xml:space="preserve">or person with a disability</w:t>
      </w:r>
      <w:r>
        <w:t xml:space="preserve"> made a statement about the offense or extraneous crime, wrong, or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criminal proceeding that commences on or after the effective date of this Act.  A criminal proceeding that commences before the effective date of this Act is governed by the law in effect when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