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Guillen, Raymond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2952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establishment of an emergency radio infrastructure grant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N, Chapter 411, Government Code, is amended by adding Section 411.4015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411.4015.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GRANTS TO FINANCE INTEROPERABLE STATEWIDE EMERGENCY RADIO INFRASTRUCTURE.  (a) </w:t>
      </w:r>
      <w:r>
        <w:rPr>
          <w:u w:val="single"/>
        </w:rPr>
        <w:t xml:space="preserve"> </w:t>
      </w:r>
      <w:r>
        <w:rPr>
          <w:u w:val="single"/>
        </w:rPr>
        <w:t xml:space="preserve">The office of the governor shall establish a program to provide grants as provided by Section 411.402.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office of the governor shall establish procedures to administer the grant program, including a procedure for the submission of a proposal and a procedure to be used by the office to evaluate a proposal.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office of the governor shall enter into a contract that includes performance requirements with each grant recipient.  The office shall monitor and enforce the terms of the contract.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office of the governor shall adopt rules to administer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411.402,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411.402.</w:t>
      </w:r>
      <w:r xml:space="preserve">
        <w:t> </w:t>
      </w:r>
      <w:r xml:space="preserve">
        <w:t> </w:t>
      </w:r>
      <w:r>
        <w:t xml:space="preserve">USE OF </w:t>
      </w:r>
      <w:r>
        <w:rPr>
          <w:u w:val="single"/>
        </w:rPr>
        <w:t xml:space="preserve">GRANTS</w:t>
      </w:r>
      <w:r>
        <w:t xml:space="preserve"> [</w:t>
      </w:r>
      <w:r>
        <w:rPr>
          <w:strike/>
        </w:rPr>
        <w:t xml:space="preserve">REVENUE</w:t>
      </w:r>
      <w:r>
        <w:t xml:space="preserve">]. </w:t>
      </w:r>
      <w:r>
        <w:t xml:space="preserve"> </w:t>
      </w:r>
      <w:r>
        <w:t xml:space="preserve">(a) </w:t>
      </w:r>
      <w:r>
        <w:t xml:space="preserve"> </w:t>
      </w:r>
      <w:r>
        <w:rPr>
          <w:u w:val="single"/>
        </w:rPr>
        <w:t xml:space="preserve">A grant provided under Section 411.4015</w:t>
      </w:r>
      <w:r>
        <w:t xml:space="preserve"> [</w:t>
      </w:r>
      <w:r>
        <w:rPr>
          <w:strike/>
        </w:rPr>
        <w:t xml:space="preserve">Fees collected under Section 133.102(e)(11), Local Government Code,</w:t>
      </w:r>
      <w:r>
        <w:t xml:space="preserve">] may only: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be used for the planning, development, provision, enhancement, or ongoing maintenance of an interoperable statewide emergency radio infrastructure;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be used in accordance with the statewide integrated public safety radio communications plan developed under Subchapter F, Chapter 421;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be used for the development of a regional or state interoperable radio communication system;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be </w:t>
      </w:r>
      <w:r>
        <w:rPr>
          <w:u w:val="single"/>
        </w:rPr>
        <w:t xml:space="preserve">made</w:t>
      </w:r>
      <w:r>
        <w:t xml:space="preserve"> [</w:t>
      </w:r>
      <w:r>
        <w:rPr>
          <w:strike/>
        </w:rPr>
        <w:t xml:space="preserve">distributed as grants by the department</w:t>
      </w:r>
      <w:r>
        <w:t xml:space="preserve">] to: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regional councils of government that have entered into interlocal agreements authorized under state law;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state agencies requiring emergency radio infrastructure;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be used for other public safety purposes.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A grant provided under Section 411.4015</w:t>
      </w:r>
      <w:r>
        <w:t xml:space="preserve"> [</w:t>
      </w:r>
      <w:r>
        <w:rPr>
          <w:strike/>
        </w:rPr>
        <w:t xml:space="preserve">Fees collected and distributed as provided by this subchapter</w:t>
      </w:r>
      <w:r>
        <w:t xml:space="preserve">] may not be used to purchase or maintain radio subscriber equipment.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411.403(b) and (c),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account consists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fees deposited in the account as provided by Section </w:t>
      </w:r>
      <w:r>
        <w:rPr>
          <w:u w:val="single"/>
        </w:rPr>
        <w:t xml:space="preserve">133.102(e)(9)</w:t>
      </w:r>
      <w:r>
        <w:t xml:space="preserve"> [</w:t>
      </w:r>
      <w:r>
        <w:rPr>
          <w:strike/>
        </w:rPr>
        <w:t xml:space="preserve">133.102(e)(11)</w:t>
      </w:r>
      <w:r>
        <w:t xml:space="preserve">], Local Government Code;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notwithstanding Section 404.071, all interest attributable to money held in the account.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Money in the account may be </w:t>
      </w:r>
      <w:r>
        <w:rPr>
          <w:u w:val="single"/>
        </w:rPr>
        <w:t xml:space="preserve">used only for grants made under this subchapter</w:t>
      </w:r>
      <w:r>
        <w:t xml:space="preserve"> [</w:t>
      </w:r>
      <w:r>
        <w:rPr>
          <w:strike/>
        </w:rPr>
        <w:t xml:space="preserve">appropriated to the department for the purposes described by Section 411.402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2952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