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to provide salary increases to full-time peace officers employed by certain local governments with limited tax bases.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401, Government Code, is amended by adding Section 401.106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401.106.</w:t>
      </w:r>
      <w:r>
        <w:rPr>
          <w:u w:val="single"/>
        </w:rPr>
        <w:t xml:space="preserve"> </w:t>
      </w:r>
      <w:r>
        <w:rPr>
          <w:u w:val="single"/>
        </w:rPr>
        <w:t xml:space="preserve"> </w:t>
      </w:r>
      <w:r>
        <w:rPr>
          <w:u w:val="single"/>
        </w:rPr>
        <w:t xml:space="preserve">GRANT PROGRAM FOR PEACE OFFICER PAY IN AREA WITH LIMITED TAX BASE.  (a)  In this section, "qualifying local government" means a county or municipality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taxable value of property for ad valorem tax purposes is less than the amount established by rule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starting salary on September 1, 2019, for a peace officer employed full-time by the county or municipality is less than $32,500 per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by rule shall establish a grant program to award grants to qualifying local governments to enhance public safety in this state by ensuring that the starting salaries of all peace officers employed by a qualifying local government is at least $32,500 per year.  The rules adopted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maximum taxable value of property that may be located in a county or municipality in order for the county or municipality to be considered a qualifying local government;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by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qualifying local government applies for a grant;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grants will be allocated to applicants if the amount of grants for which qualifying local governments have applied exceeds the amount of money available for the grants.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award grants to qualifying local governments under this section from money appropriated to the governor for that purpose.  The governor is not required to award a grant under this section during any period for which money is not appropriated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comptroller of public accounts, using existing resources, shall conduct a study to determine the amount of money needed to fully fund the grant program under Section 401.106, Government Code, as added by this Act, for the two-year period beginning September 1, 2021.</w:t>
      </w:r>
    </w:p>
    <w:p w:rsidR="003F3435" w:rsidRDefault="0032493E">
      <w:pPr>
        <w:spacing w:line="480" w:lineRule="auto"/>
        <w:ind w:firstLine="720"/>
        <w:jc w:val="both"/>
      </w:pPr>
      <w:r>
        <w:t xml:space="preserve">(b)</w:t>
      </w:r>
      <w:r xml:space="preserve">
        <w:t> </w:t>
      </w:r>
      <w:r xml:space="preserve">
        <w:t> </w:t>
      </w:r>
      <w:r>
        <w:t xml:space="preserve">Not later than January 1, 2021, the comptroller of public accounts shall submit a report on the study to the governor, the lieutenant governor, and each member of the legislature.  The legislature may consider the report when making appropriations to the governor for the state fiscal biennium beginning September 1, 2021.</w:t>
      </w:r>
    </w:p>
    <w:p w:rsidR="003F3435" w:rsidRDefault="0032493E">
      <w:pPr>
        <w:spacing w:line="480" w:lineRule="auto"/>
        <w:ind w:firstLine="720"/>
        <w:jc w:val="both"/>
      </w:pPr>
      <w:r>
        <w:t xml:space="preserve">(c)</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