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oversight of specialty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121.002, Government Code, is amended by amending Subsections (c) and (d)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any other law, a specialty court program may not operate until the judge, magistrate, or coordinator: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to the </w:t>
      </w:r>
      <w:r>
        <w:rPr>
          <w:u w:val="single"/>
        </w:rPr>
        <w:t xml:space="preserve">Office of Court Administration of the Texas Judicial System</w:t>
      </w:r>
      <w:r>
        <w:t xml:space="preserve"> [</w:t>
      </w:r>
      <w:r>
        <w:rPr>
          <w:strike/>
        </w:rPr>
        <w:t xml:space="preserve">criminal justice division of the governor's office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written notice of the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resolution or other official declaration under which the program was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copy of the applicable strategic plan that incorporates duties related to supervision that will be required under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from the </w:t>
      </w:r>
      <w:r>
        <w:rPr>
          <w:u w:val="single"/>
        </w:rPr>
        <w:t xml:space="preserve">office</w:t>
      </w:r>
      <w:r>
        <w:t xml:space="preserve"> [</w:t>
      </w:r>
      <w:r>
        <w:rPr>
          <w:strike/>
        </w:rPr>
        <w:t xml:space="preserve">division</w:t>
      </w:r>
      <w:r>
        <w:t xml:space="preserve">] written verification of the program's compliance with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specialty court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comply with all programmatic best practices recommended by the Specialty Courts Advisory Council under Section 772.0061(b)(2) and approved by the Texas Judicial Council;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report to the criminal justice division </w:t>
      </w:r>
      <w:r>
        <w:rPr>
          <w:u w:val="single"/>
        </w:rPr>
        <w:t xml:space="preserve">of the governor's office and the Texas Judicial Council</w:t>
      </w:r>
      <w:r>
        <w:t xml:space="preserve"> any information required by the division </w:t>
      </w:r>
      <w:r>
        <w:rPr>
          <w:u w:val="single"/>
        </w:rPr>
        <w:t xml:space="preserve">or council</w:t>
      </w:r>
      <w:r>
        <w:t xml:space="preserve"> regarding the performance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provide technical assistance to the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with an entity funded by the criminal justice division of the governor's office that provides services to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compliance of the specialty court programs with the programmatic best practices as required by Subsection (d)(1);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criminal justice division about each specialty court program that is not in compliance with the programmatic best practices as required by Subsection (d)(1).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coordinate with and provide information to the criminal justice division of the governor's office on request of the 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