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86R8298 SMT-F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from ad valorem taxation of certain property owned by the TexAmericas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3503, Special District Local Laws Code, is amended by adding Section 3503.1541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3503.1541.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PROPERTY EXEMPT FROM TAXATION.  (a)  A leasehold or other possessory interest granted to a person by the authority or by a nonprofit corporation holding title for the authority is owned, used, and held for a public purpose for and on behalf of the authority and is exempt from taxation under Section 11.11, Tax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25.07(a), Tax Code, does not apply to a leasehold or other possessory interest granted to a person by the authority or by a nonprofit corporation holding title for the authority during the period the authority or nonprofit corporation owns the estate or interest encumbered by the possessory interest.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