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86R9866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(s)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(s)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less than 17,000 that borders the Red River and in which at least two United States highways cross into Oklahoma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