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86R1944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Huberty</w:t>
      </w:r>
      <w:r xml:space="preserve">
        <w:tab wTab="150" tlc="none" cTlc="0"/>
      </w:r>
      <w:r>
        <w:t xml:space="preserve">H.B.</w:t>
      </w:r>
      <w:r xml:space="preserve">
        <w:t> </w:t>
      </w:r>
      <w:r>
        <w:t xml:space="preserve">No.</w:t>
      </w:r>
      <w:r xml:space="preserve">
        <w:t> </w:t>
      </w:r>
      <w:r>
        <w:t xml:space="preserve">2961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allotment under the foundation school program for students with dyslexia or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The commissioner by rule shall require each school district and open-enrollment charter school to report through the Public Education Information Management System information regarding the number of students enrolled in the district or school who are identified as having dyslexia </w:t>
      </w:r>
      <w:r>
        <w:rPr>
          <w:u w:val="single"/>
        </w:rPr>
        <w:t xml:space="preserve">or related disorders</w:t>
      </w:r>
      <w:r>
        <w:t xml:space="preserve">.</w:t>
      </w:r>
      <w:r xml:space="preserve">
        <w:t> </w:t>
      </w:r>
      <w:r xml:space="preserve">
        <w:t> </w:t>
      </w:r>
      <w:r>
        <w:t xml:space="preserve">The agency shall maintain the information provided in accordance with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42, Education Code, is amended by adding Section 42.1561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42.1561.</w:t>
      </w:r>
      <w:r>
        <w:rPr>
          <w:u w:val="single"/>
        </w:rPr>
        <w:t xml:space="preserve"> </w:t>
      </w:r>
      <w:r>
        <w:rPr>
          <w:u w:val="single"/>
        </w:rPr>
        <w:t xml:space="preserve"> </w:t>
      </w:r>
      <w:r>
        <w:rPr>
          <w:u w:val="single"/>
        </w:rPr>
        <w:t xml:space="preserve">ALLOTMENT FOR STUDENT WITH DYSLEXIA OR RELATED DISORDER.  (a)  Subject to Subsection (b), for each student that a school district serves who has been identified as having dyslexia or a related disorder, the district is entitled to an annual allotment equal to the district's adjusted basic allotment as determined under Section 42.102 or Section 42.103, as applicable, multiplied by 0.1 for each school year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the allotment under Subsection (a) only for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receiving instruction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applicable dyslexia program criteria established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provided by a person with specific training in providing that instruction;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received the instruction described by Subdivision (1) and is permitted, on the basis of having dyslexia or a related disorder, to use modifications in the classroom and accommodations in the administration of assessment instruments under Section 39.023.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Funds allotted under this section must be used in providing services to students with dyslexia or related disorders.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receive funding for a student under this section and Section 42.151 if the student satisfies the requirements of both sections.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