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2962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departures from network adequacy standards by a preferred provider benefit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1301.0055, Insurance Code, is amended to read as follows:</w:t>
      </w:r>
    </w:p>
    <w:p w:rsidR="003F3435" w:rsidRDefault="0032493E">
      <w:pPr>
        <w:spacing w:line="480" w:lineRule="auto"/>
        <w:ind w:firstLine="720"/>
        <w:jc w:val="both"/>
      </w:pPr>
      <w:r>
        <w:t xml:space="preserve">Sec.</w:t>
      </w:r>
      <w:r xml:space="preserve">
        <w:t> </w:t>
      </w:r>
      <w:r>
        <w:t xml:space="preserve">1301.0055.</w:t>
      </w:r>
      <w:r xml:space="preserve">
        <w:t> </w:t>
      </w:r>
      <w:r xml:space="preserve">
        <w:t> </w:t>
      </w:r>
      <w:r>
        <w:t xml:space="preserve">NETWORK ADEQUACY STANDARDS</w:t>
      </w:r>
      <w:r>
        <w:rPr>
          <w:u w:val="single"/>
        </w:rPr>
        <w:t xml:space="preserve">; DEPARTURE FROM STANDARDS</w:t>
      </w:r>
      <w:r>
        <w:t xml:space="preserve">.  </w:t>
      </w:r>
      <w:r>
        <w:rPr>
          <w:u w:val="single"/>
        </w:rPr>
        <w:t xml:space="preserve">(a)</w:t>
      </w:r>
      <w:r>
        <w:t xml:space="preserve">  The commissioner shall by rule adopt network adequacy standards that:</w:t>
      </w:r>
    </w:p>
    <w:p w:rsidR="003F3435" w:rsidRDefault="0032493E">
      <w:pPr>
        <w:spacing w:line="480" w:lineRule="auto"/>
        <w:ind w:firstLine="1440"/>
        <w:jc w:val="both"/>
      </w:pPr>
      <w:r>
        <w:t xml:space="preserve">(1)</w:t>
      </w:r>
      <w:r xml:space="preserve">
        <w:t> </w:t>
      </w:r>
      <w:r xml:space="preserve">
        <w:t> </w:t>
      </w:r>
      <w:r>
        <w:t xml:space="preserve">are adapted to local markets in which an insurer offering a preferred provider benefit plan operates;</w:t>
      </w:r>
    </w:p>
    <w:p w:rsidR="003F3435" w:rsidRDefault="0032493E">
      <w:pPr>
        <w:spacing w:line="480" w:lineRule="auto"/>
        <w:ind w:firstLine="1440"/>
        <w:jc w:val="both"/>
      </w:pPr>
      <w:r>
        <w:t xml:space="preserve">(2)</w:t>
      </w:r>
      <w:r xml:space="preserve">
        <w:t> </w:t>
      </w:r>
      <w:r xml:space="preserve">
        <w:t> </w:t>
      </w:r>
      <w:r>
        <w:t xml:space="preserve">ensure availability of, and accessibility to, a full range of contracted physicians and health care providers to provide health care services to insureds; and</w:t>
      </w:r>
    </w:p>
    <w:p w:rsidR="003F3435" w:rsidRDefault="0032493E">
      <w:pPr>
        <w:spacing w:line="480" w:lineRule="auto"/>
        <w:ind w:firstLine="1440"/>
        <w:jc w:val="both"/>
      </w:pPr>
      <w:r>
        <w:t xml:space="preserve">(3)</w:t>
      </w:r>
      <w:r xml:space="preserve">
        <w:t> </w:t>
      </w:r>
      <w:r xml:space="preserve">
        <w:t> </w:t>
      </w:r>
      <w:r>
        <w:t xml:space="preserve">on good cause shown, may allow departure from local market network adequacy standards if the commissioner posts on the department's Internet website the name of the preferred provider plan, the insurer offering the plan, and the affected local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renewed in accordance with this section, permission to depart from a local market network adequacy standard under this section expires on the first anniversary of the date the commissioner grants the request for the departure.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may request a renewal of permission to depart from a local market network adequacy standard under this section not later than the 30th day before the permission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commissioner grants an insurer's request for a departure from a local market network adequacy standard for a preferred provider benefit plan, the commissioner may not approve a subsequent request by that insurer to depart from the same standard for that plan unless the request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good cause for the requested departure exists;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physician or health care provider able to provide the covered service for which the insurer requests the departure is available in the local market for which the departure is requested: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insurer took reasonable steps to meet the relevant standard, including taking any steps identified in a previous request for departure from the standard;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physician or health care provider described by this subdivision with whom the insurer does not enter a contract: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if the failure to contract was not based on reimbursement rates, the insurer made not less than three reasonable attempts to negotiate the disputed contract terms;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failure to contract was based on reimbursement rates, the insurer offered not less than three materially different rates;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insurer's termination of a physician or health care provider without cause is not a contributing factor in the insurer's need for the requested departure;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insurer has not had the highest ratio of claims to mediation requests under Chapter 1467 in any of the preceding three years for the relevant service compared to other insurers subject to that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impose reasonable conditions on the grant of a departure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commissioner of insurance shall adopt rules necessary to implement Section 1301.0055, Insurance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